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1CA" w:rsidRDefault="00880000" w:rsidP="005051CA">
      <w:pPr>
        <w:jc w:val="center"/>
        <w:rPr>
          <w:rFonts w:asciiTheme="majorHAnsi" w:hAnsiTheme="majorHAnsi" w:cs="Arial"/>
          <w:b/>
          <w:sz w:val="22"/>
          <w:szCs w:val="22"/>
        </w:rPr>
      </w:pPr>
      <w:r w:rsidRPr="00105256">
        <w:rPr>
          <w:rFonts w:asciiTheme="majorHAnsi" w:hAnsiTheme="majorHAnsi" w:cs="Arial"/>
          <w:b/>
          <w:sz w:val="22"/>
          <w:szCs w:val="22"/>
        </w:rPr>
        <w:t>Glossary of terms</w:t>
      </w:r>
    </w:p>
    <w:p w:rsidR="00397E97" w:rsidRPr="00105256" w:rsidRDefault="00921A05" w:rsidP="005051CA">
      <w:pPr>
        <w:jc w:val="center"/>
        <w:rPr>
          <w:rFonts w:asciiTheme="majorHAnsi" w:hAnsiTheme="majorHAnsi" w:cs="Arial"/>
          <w:b/>
          <w:sz w:val="22"/>
          <w:szCs w:val="22"/>
        </w:rPr>
      </w:pPr>
      <w:r>
        <w:rPr>
          <w:rFonts w:asciiTheme="majorHAnsi" w:hAnsiTheme="majorHAnsi" w:cs="Arial"/>
          <w:b/>
          <w:sz w:val="22"/>
          <w:szCs w:val="22"/>
        </w:rPr>
        <w:t>Notre Dame Peer Review Working P</w:t>
      </w:r>
      <w:r w:rsidR="00397E97">
        <w:rPr>
          <w:rFonts w:asciiTheme="majorHAnsi" w:hAnsiTheme="majorHAnsi" w:cs="Arial"/>
          <w:b/>
          <w:sz w:val="22"/>
          <w:szCs w:val="22"/>
        </w:rPr>
        <w:t>arty</w:t>
      </w:r>
    </w:p>
    <w:p w:rsidR="00880000" w:rsidRPr="00105256" w:rsidRDefault="00880000" w:rsidP="00B733E7">
      <w:pPr>
        <w:rPr>
          <w:rFonts w:asciiTheme="majorHAnsi" w:hAnsiTheme="majorHAnsi" w:cs="Arial"/>
          <w:sz w:val="22"/>
          <w:szCs w:val="22"/>
        </w:rPr>
      </w:pPr>
    </w:p>
    <w:tbl>
      <w:tblPr>
        <w:tblStyle w:val="TableGrid"/>
        <w:tblW w:w="0" w:type="auto"/>
        <w:tblLayout w:type="fixed"/>
        <w:tblLook w:val="04A0" w:firstRow="1" w:lastRow="0" w:firstColumn="1" w:lastColumn="0" w:noHBand="0" w:noVBand="1"/>
      </w:tblPr>
      <w:tblGrid>
        <w:gridCol w:w="2235"/>
        <w:gridCol w:w="11941"/>
      </w:tblGrid>
      <w:tr w:rsidR="008C0D8E" w:rsidRPr="00105256" w:rsidTr="008C0D8E">
        <w:tc>
          <w:tcPr>
            <w:tcW w:w="2235" w:type="dxa"/>
            <w:vMerge w:val="restart"/>
          </w:tcPr>
          <w:p w:rsidR="008C0D8E" w:rsidRPr="00105256" w:rsidRDefault="008C0D8E" w:rsidP="00880000">
            <w:pPr>
              <w:rPr>
                <w:rFonts w:asciiTheme="majorHAnsi" w:hAnsiTheme="majorHAnsi" w:cs="Arial"/>
                <w:sz w:val="22"/>
                <w:szCs w:val="22"/>
              </w:rPr>
            </w:pPr>
            <w:r w:rsidRPr="00105256">
              <w:rPr>
                <w:rFonts w:asciiTheme="majorHAnsi" w:hAnsiTheme="majorHAnsi" w:cs="Arial"/>
                <w:sz w:val="22"/>
                <w:szCs w:val="22"/>
              </w:rPr>
              <w:t>Moderation of assessment</w:t>
            </w:r>
          </w:p>
          <w:p w:rsidR="008C0D8E" w:rsidRPr="00105256" w:rsidRDefault="008C0D8E">
            <w:pPr>
              <w:rPr>
                <w:rFonts w:asciiTheme="majorHAnsi" w:hAnsiTheme="majorHAnsi" w:cs="Arial"/>
                <w:sz w:val="22"/>
                <w:szCs w:val="22"/>
              </w:rPr>
            </w:pPr>
          </w:p>
        </w:tc>
        <w:tc>
          <w:tcPr>
            <w:tcW w:w="11941" w:type="dxa"/>
          </w:tcPr>
          <w:p w:rsidR="008C0D8E" w:rsidRPr="00105256" w:rsidRDefault="004E532D" w:rsidP="009606B7">
            <w:pPr>
              <w:autoSpaceDE w:val="0"/>
              <w:autoSpaceDN w:val="0"/>
              <w:adjustRightInd w:val="0"/>
              <w:rPr>
                <w:rFonts w:asciiTheme="majorHAnsi" w:hAnsiTheme="majorHAnsi" w:cs="Arial"/>
                <w:i/>
                <w:sz w:val="22"/>
                <w:szCs w:val="22"/>
              </w:rPr>
            </w:pPr>
            <w:r>
              <w:rPr>
                <w:rFonts w:asciiTheme="majorHAnsi" w:hAnsiTheme="majorHAnsi" w:cs="Arial"/>
                <w:bCs/>
                <w:sz w:val="22"/>
                <w:szCs w:val="22"/>
              </w:rPr>
              <w:t>‘</w:t>
            </w:r>
            <w:r w:rsidR="008C0D8E" w:rsidRPr="00105256">
              <w:rPr>
                <w:rFonts w:asciiTheme="majorHAnsi" w:hAnsiTheme="majorHAnsi" w:cs="Arial"/>
                <w:bCs/>
                <w:sz w:val="22"/>
                <w:szCs w:val="22"/>
              </w:rPr>
              <w:t>Q</w:t>
            </w:r>
            <w:r w:rsidR="008C0D8E" w:rsidRPr="00105256">
              <w:rPr>
                <w:rFonts w:asciiTheme="majorHAnsi" w:hAnsiTheme="majorHAnsi" w:cs="Arial"/>
                <w:sz w:val="22"/>
                <w:szCs w:val="22"/>
              </w:rPr>
              <w:t>uality assurance processes and activities such as peer review that aim to assure: consistency or comparability, appropriateness, and fairness of assessment judgments; and the validity and reliability of assessment tasks, criteria and standards.</w:t>
            </w:r>
            <w:r>
              <w:rPr>
                <w:rFonts w:asciiTheme="majorHAnsi" w:hAnsiTheme="majorHAnsi" w:cs="Arial"/>
                <w:sz w:val="22"/>
                <w:szCs w:val="22"/>
              </w:rPr>
              <w:t>’</w:t>
            </w:r>
            <w:r w:rsidR="008C0D8E" w:rsidRPr="00105256">
              <w:rPr>
                <w:rFonts w:asciiTheme="majorHAnsi" w:hAnsiTheme="majorHAnsi" w:cs="Arial"/>
                <w:sz w:val="22"/>
                <w:szCs w:val="22"/>
              </w:rPr>
              <w:t xml:space="preserve"> </w:t>
            </w:r>
          </w:p>
          <w:p w:rsidR="008C0D8E" w:rsidRPr="00105256" w:rsidRDefault="008C0D8E" w:rsidP="009606B7">
            <w:pPr>
              <w:autoSpaceDE w:val="0"/>
              <w:autoSpaceDN w:val="0"/>
              <w:adjustRightInd w:val="0"/>
              <w:rPr>
                <w:rFonts w:asciiTheme="majorHAnsi" w:hAnsiTheme="majorHAnsi" w:cs="Arial"/>
                <w:sz w:val="22"/>
                <w:szCs w:val="22"/>
              </w:rPr>
            </w:pPr>
            <w:r w:rsidRPr="00105256">
              <w:rPr>
                <w:rFonts w:asciiTheme="majorHAnsi" w:hAnsiTheme="majorHAnsi" w:cs="Arial"/>
                <w:i/>
                <w:sz w:val="22"/>
                <w:szCs w:val="22"/>
              </w:rPr>
              <w:t>Notre Dame, Policy: Assessment in Coursework Units</w:t>
            </w:r>
            <w:r w:rsidRPr="00105256">
              <w:rPr>
                <w:rFonts w:asciiTheme="majorHAnsi" w:hAnsiTheme="majorHAnsi" w:cs="Arial"/>
                <w:sz w:val="22"/>
                <w:szCs w:val="22"/>
              </w:rPr>
              <w:t xml:space="preserve"> </w:t>
            </w:r>
          </w:p>
        </w:tc>
      </w:tr>
      <w:tr w:rsidR="008C0D8E" w:rsidRPr="00105256" w:rsidTr="008C0D8E">
        <w:tc>
          <w:tcPr>
            <w:tcW w:w="2235" w:type="dxa"/>
            <w:vMerge/>
          </w:tcPr>
          <w:p w:rsidR="008C0D8E" w:rsidRPr="00105256" w:rsidRDefault="008C0D8E" w:rsidP="00880000">
            <w:pPr>
              <w:rPr>
                <w:rFonts w:asciiTheme="majorHAnsi" w:hAnsiTheme="majorHAnsi" w:cs="Arial"/>
                <w:sz w:val="22"/>
                <w:szCs w:val="22"/>
              </w:rPr>
            </w:pPr>
          </w:p>
        </w:tc>
        <w:tc>
          <w:tcPr>
            <w:tcW w:w="11941" w:type="dxa"/>
          </w:tcPr>
          <w:p w:rsidR="008C0D8E" w:rsidRPr="00105256" w:rsidRDefault="008C0D8E" w:rsidP="009606B7">
            <w:pPr>
              <w:autoSpaceDE w:val="0"/>
              <w:autoSpaceDN w:val="0"/>
              <w:adjustRightInd w:val="0"/>
              <w:rPr>
                <w:rFonts w:asciiTheme="majorHAnsi" w:hAnsiTheme="majorHAnsi" w:cs="Arial"/>
                <w:sz w:val="22"/>
                <w:szCs w:val="22"/>
                <w:lang w:val="en"/>
              </w:rPr>
            </w:pPr>
            <w:r w:rsidRPr="00105256">
              <w:rPr>
                <w:rStyle w:val="Strong"/>
                <w:rFonts w:asciiTheme="majorHAnsi" w:hAnsiTheme="majorHAnsi" w:cs="Arial"/>
                <w:b w:val="0"/>
                <w:sz w:val="22"/>
                <w:szCs w:val="22"/>
                <w:lang w:val="en"/>
              </w:rPr>
              <w:t>Moderation</w:t>
            </w:r>
            <w:r w:rsidRPr="00105256">
              <w:rPr>
                <w:rFonts w:asciiTheme="majorHAnsi" w:hAnsiTheme="majorHAnsi" w:cs="Arial"/>
                <w:sz w:val="22"/>
                <w:szCs w:val="22"/>
                <w:lang w:val="en"/>
              </w:rPr>
              <w:t xml:space="preserve"> (of assessment) – </w:t>
            </w:r>
            <w:r w:rsidR="004E532D">
              <w:rPr>
                <w:rFonts w:asciiTheme="majorHAnsi" w:hAnsiTheme="majorHAnsi" w:cs="Arial"/>
                <w:sz w:val="22"/>
                <w:szCs w:val="22"/>
                <w:lang w:val="en"/>
              </w:rPr>
              <w:t>‘</w:t>
            </w:r>
            <w:r w:rsidRPr="00105256">
              <w:rPr>
                <w:rFonts w:asciiTheme="majorHAnsi" w:hAnsiTheme="majorHAnsi" w:cs="Arial"/>
                <w:sz w:val="22"/>
                <w:szCs w:val="22"/>
                <w:lang w:val="en"/>
              </w:rPr>
              <w:t>the process of establishing comparability of standards, reached through consensus, between assessors to ensure the validity, reliability and practicality of assessment and consistency of grading.</w:t>
            </w:r>
            <w:r w:rsidR="004E532D">
              <w:rPr>
                <w:rFonts w:asciiTheme="majorHAnsi" w:hAnsiTheme="majorHAnsi" w:cs="Arial"/>
                <w:sz w:val="22"/>
                <w:szCs w:val="22"/>
                <w:lang w:val="en"/>
              </w:rPr>
              <w:t>’</w:t>
            </w:r>
          </w:p>
          <w:p w:rsidR="008C0D8E" w:rsidRPr="00105256" w:rsidRDefault="008C0D8E" w:rsidP="009606B7">
            <w:pPr>
              <w:autoSpaceDE w:val="0"/>
              <w:autoSpaceDN w:val="0"/>
              <w:adjustRightInd w:val="0"/>
              <w:rPr>
                <w:rFonts w:asciiTheme="majorHAnsi" w:hAnsiTheme="majorHAnsi" w:cs="Arial"/>
                <w:bCs/>
                <w:i/>
                <w:sz w:val="22"/>
                <w:szCs w:val="22"/>
              </w:rPr>
            </w:pPr>
            <w:r w:rsidRPr="00105256">
              <w:rPr>
                <w:rFonts w:asciiTheme="majorHAnsi" w:hAnsiTheme="majorHAnsi" w:cs="Arial"/>
                <w:i/>
                <w:sz w:val="22"/>
                <w:szCs w:val="22"/>
              </w:rPr>
              <w:t>https://www.flinders.edu.au/flinders/ppmanual/student/assessment-policy.cfm</w:t>
            </w:r>
          </w:p>
        </w:tc>
      </w:tr>
      <w:tr w:rsidR="00105256" w:rsidRPr="00105256" w:rsidTr="008C0D8E">
        <w:tc>
          <w:tcPr>
            <w:tcW w:w="2235" w:type="dxa"/>
          </w:tcPr>
          <w:p w:rsidR="00105256" w:rsidRPr="00105256" w:rsidRDefault="00105256" w:rsidP="00880000">
            <w:pPr>
              <w:rPr>
                <w:rFonts w:asciiTheme="majorHAnsi" w:hAnsiTheme="majorHAnsi" w:cs="Arial"/>
                <w:sz w:val="22"/>
                <w:szCs w:val="22"/>
              </w:rPr>
            </w:pPr>
            <w:r w:rsidRPr="00105256">
              <w:rPr>
                <w:rFonts w:asciiTheme="majorHAnsi" w:hAnsiTheme="majorHAnsi" w:cs="Arial"/>
                <w:sz w:val="22"/>
                <w:szCs w:val="22"/>
              </w:rPr>
              <w:t>Consensus moderation</w:t>
            </w:r>
          </w:p>
        </w:tc>
        <w:tc>
          <w:tcPr>
            <w:tcW w:w="11941" w:type="dxa"/>
          </w:tcPr>
          <w:p w:rsidR="000857ED" w:rsidRDefault="000857ED" w:rsidP="00105256">
            <w:pPr>
              <w:autoSpaceDE w:val="0"/>
              <w:autoSpaceDN w:val="0"/>
              <w:adjustRightInd w:val="0"/>
              <w:rPr>
                <w:rFonts w:asciiTheme="majorHAnsi" w:hAnsiTheme="majorHAnsi" w:cs="AdvTTec369687"/>
                <w:sz w:val="22"/>
                <w:szCs w:val="22"/>
              </w:rPr>
            </w:pPr>
            <w:r>
              <w:rPr>
                <w:rFonts w:asciiTheme="majorHAnsi" w:hAnsiTheme="majorHAnsi" w:cs="AdvTTec369687"/>
                <w:sz w:val="22"/>
                <w:szCs w:val="22"/>
              </w:rPr>
              <w:t>‘</w:t>
            </w:r>
            <w:r w:rsidR="00105256" w:rsidRPr="00105256">
              <w:rPr>
                <w:rFonts w:asciiTheme="majorHAnsi" w:hAnsiTheme="majorHAnsi" w:cs="AdvTTec369687"/>
                <w:sz w:val="22"/>
                <w:szCs w:val="22"/>
              </w:rPr>
              <w:t>Consensus moderation is commonly used for extended complex assessment</w:t>
            </w:r>
            <w:r w:rsidR="00105256">
              <w:rPr>
                <w:rFonts w:asciiTheme="majorHAnsi" w:hAnsiTheme="majorHAnsi" w:cs="AdvTTec369687"/>
                <w:sz w:val="22"/>
                <w:szCs w:val="22"/>
              </w:rPr>
              <w:t xml:space="preserve"> </w:t>
            </w:r>
            <w:r w:rsidR="00105256" w:rsidRPr="00105256">
              <w:rPr>
                <w:rFonts w:asciiTheme="majorHAnsi" w:hAnsiTheme="majorHAnsi" w:cs="AdvTTec369687"/>
                <w:sz w:val="22"/>
                <w:szCs w:val="22"/>
              </w:rPr>
              <w:t>responses when course enrolments are large, and when a course is taught on different</w:t>
            </w:r>
            <w:r w:rsidR="00105256">
              <w:rPr>
                <w:rFonts w:asciiTheme="majorHAnsi" w:hAnsiTheme="majorHAnsi" w:cs="AdvTTec369687"/>
                <w:sz w:val="22"/>
                <w:szCs w:val="22"/>
              </w:rPr>
              <w:t xml:space="preserve"> </w:t>
            </w:r>
            <w:r>
              <w:rPr>
                <w:rFonts w:asciiTheme="majorHAnsi" w:hAnsiTheme="majorHAnsi" w:cs="AdvTTec369687"/>
                <w:sz w:val="22"/>
                <w:szCs w:val="22"/>
              </w:rPr>
              <w:t>campuses or in different modes.’ …</w:t>
            </w:r>
            <w:r w:rsidR="00105256" w:rsidRPr="00105256">
              <w:rPr>
                <w:rFonts w:asciiTheme="majorHAnsi" w:hAnsiTheme="majorHAnsi" w:cs="AdvTTec369687"/>
                <w:sz w:val="22"/>
                <w:szCs w:val="22"/>
              </w:rPr>
              <w:t xml:space="preserve"> Qualitative judgements</w:t>
            </w:r>
            <w:r w:rsidR="00105256">
              <w:rPr>
                <w:rFonts w:asciiTheme="majorHAnsi" w:hAnsiTheme="majorHAnsi" w:cs="AdvTTec369687"/>
                <w:sz w:val="22"/>
                <w:szCs w:val="22"/>
              </w:rPr>
              <w:t xml:space="preserve"> </w:t>
            </w:r>
            <w:r w:rsidR="00105256" w:rsidRPr="00105256">
              <w:rPr>
                <w:rFonts w:asciiTheme="majorHAnsi" w:hAnsiTheme="majorHAnsi" w:cs="AdvTTec369687"/>
                <w:sz w:val="22"/>
                <w:szCs w:val="22"/>
              </w:rPr>
              <w:t>about these works are not reducible to rules that non-experts can apply (Sadler</w:t>
            </w:r>
            <w:r>
              <w:rPr>
                <w:rFonts w:asciiTheme="majorHAnsi" w:hAnsiTheme="majorHAnsi" w:cs="AdvTTec369687"/>
                <w:sz w:val="22"/>
                <w:szCs w:val="22"/>
              </w:rPr>
              <w:t xml:space="preserve">, </w:t>
            </w:r>
            <w:r w:rsidR="00105256" w:rsidRPr="00105256">
              <w:rPr>
                <w:rFonts w:asciiTheme="majorHAnsi" w:hAnsiTheme="majorHAnsi" w:cs="AdvTTec369687"/>
                <w:sz w:val="22"/>
                <w:szCs w:val="22"/>
              </w:rPr>
              <w:t>1989).</w:t>
            </w:r>
            <w:r w:rsidR="00105256">
              <w:rPr>
                <w:rFonts w:asciiTheme="majorHAnsi" w:hAnsiTheme="majorHAnsi" w:cs="AdvTTec369687"/>
                <w:sz w:val="22"/>
                <w:szCs w:val="22"/>
              </w:rPr>
              <w:t xml:space="preserve"> </w:t>
            </w:r>
            <w:r w:rsidR="00105256" w:rsidRPr="00105256">
              <w:rPr>
                <w:rFonts w:asciiTheme="majorHAnsi" w:hAnsiTheme="majorHAnsi" w:cs="AdvTTec369687"/>
                <w:sz w:val="22"/>
                <w:szCs w:val="22"/>
              </w:rPr>
              <w:t xml:space="preserve"> </w:t>
            </w:r>
          </w:p>
          <w:p w:rsidR="000857ED" w:rsidRDefault="000857ED" w:rsidP="00105256">
            <w:pPr>
              <w:autoSpaceDE w:val="0"/>
              <w:autoSpaceDN w:val="0"/>
              <w:adjustRightInd w:val="0"/>
              <w:rPr>
                <w:rFonts w:asciiTheme="majorHAnsi" w:hAnsiTheme="majorHAnsi" w:cs="AdvTTec369687"/>
                <w:sz w:val="22"/>
                <w:szCs w:val="22"/>
              </w:rPr>
            </w:pPr>
          </w:p>
          <w:p w:rsidR="00105256" w:rsidRPr="00921A05" w:rsidRDefault="00105256" w:rsidP="00921A05">
            <w:pPr>
              <w:autoSpaceDE w:val="0"/>
              <w:autoSpaceDN w:val="0"/>
              <w:adjustRightInd w:val="0"/>
              <w:rPr>
                <w:rStyle w:val="Strong"/>
                <w:rFonts w:asciiTheme="majorHAnsi" w:hAnsiTheme="majorHAnsi" w:cs="AdvTTec369687"/>
                <w:b w:val="0"/>
                <w:bCs w:val="0"/>
                <w:sz w:val="22"/>
                <w:szCs w:val="22"/>
              </w:rPr>
            </w:pPr>
            <w:r w:rsidRPr="00105256">
              <w:rPr>
                <w:rFonts w:asciiTheme="majorHAnsi" w:hAnsiTheme="majorHAnsi" w:cs="AdvTTec369687"/>
                <w:sz w:val="22"/>
                <w:szCs w:val="22"/>
              </w:rPr>
              <w:t>Consensus moderation starts with a sample of student responses drawn from the</w:t>
            </w:r>
            <w:r>
              <w:rPr>
                <w:rFonts w:asciiTheme="majorHAnsi" w:hAnsiTheme="majorHAnsi" w:cs="AdvTTec369687"/>
                <w:sz w:val="22"/>
                <w:szCs w:val="22"/>
              </w:rPr>
              <w:t xml:space="preserve"> </w:t>
            </w:r>
            <w:r w:rsidRPr="00105256">
              <w:rPr>
                <w:rFonts w:asciiTheme="majorHAnsi" w:hAnsiTheme="majorHAnsi" w:cs="AdvTTec369687"/>
                <w:sz w:val="22"/>
                <w:szCs w:val="22"/>
              </w:rPr>
              <w:t>course pool. Working independently, all assessors mark all responses in the sample.</w:t>
            </w:r>
            <w:r>
              <w:rPr>
                <w:rFonts w:asciiTheme="majorHAnsi" w:hAnsiTheme="majorHAnsi" w:cs="AdvTTec369687"/>
                <w:sz w:val="22"/>
                <w:szCs w:val="22"/>
              </w:rPr>
              <w:t xml:space="preserve"> </w:t>
            </w:r>
            <w:r w:rsidRPr="00105256">
              <w:rPr>
                <w:rFonts w:asciiTheme="majorHAnsi" w:hAnsiTheme="majorHAnsi" w:cs="AdvTTec369687"/>
                <w:sz w:val="22"/>
                <w:szCs w:val="22"/>
              </w:rPr>
              <w:t xml:space="preserve"> For each, they record their provisional judgement and their reasons for it. Markers</w:t>
            </w:r>
            <w:r>
              <w:rPr>
                <w:rFonts w:asciiTheme="majorHAnsi" w:hAnsiTheme="majorHAnsi" w:cs="AdvTTec369687"/>
                <w:sz w:val="22"/>
                <w:szCs w:val="22"/>
              </w:rPr>
              <w:t xml:space="preserve"> </w:t>
            </w:r>
            <w:r w:rsidRPr="00105256">
              <w:rPr>
                <w:rFonts w:asciiTheme="majorHAnsi" w:hAnsiTheme="majorHAnsi" w:cs="AdvTTec369687"/>
                <w:sz w:val="22"/>
                <w:szCs w:val="22"/>
              </w:rPr>
              <w:t>then convene as a group, individually present their decisions and rationales, and</w:t>
            </w:r>
            <w:r>
              <w:rPr>
                <w:rFonts w:asciiTheme="majorHAnsi" w:hAnsiTheme="majorHAnsi" w:cs="AdvTTec369687"/>
                <w:sz w:val="22"/>
                <w:szCs w:val="22"/>
              </w:rPr>
              <w:t xml:space="preserve"> </w:t>
            </w:r>
            <w:r w:rsidRPr="00105256">
              <w:rPr>
                <w:rFonts w:asciiTheme="majorHAnsi" w:hAnsiTheme="majorHAnsi" w:cs="AdvTTec369687"/>
                <w:sz w:val="22"/>
                <w:szCs w:val="22"/>
              </w:rPr>
              <w:t>deliberate them until consensus is reached. Abercrombie</w:t>
            </w:r>
            <w:r w:rsidRPr="00105256">
              <w:rPr>
                <w:rFonts w:asciiTheme="majorHAnsi" w:hAnsiTheme="majorHAnsi" w:cs="AdvTTec369687+20"/>
                <w:sz w:val="22"/>
                <w:szCs w:val="22"/>
              </w:rPr>
              <w:t>’</w:t>
            </w:r>
            <w:r w:rsidRPr="00105256">
              <w:rPr>
                <w:rFonts w:asciiTheme="majorHAnsi" w:hAnsiTheme="majorHAnsi" w:cs="AdvTTec369687"/>
                <w:sz w:val="22"/>
                <w:szCs w:val="22"/>
              </w:rPr>
              <w:t>s (1969) research</w:t>
            </w:r>
            <w:r>
              <w:rPr>
                <w:rFonts w:asciiTheme="majorHAnsi" w:hAnsiTheme="majorHAnsi" w:cs="AdvTTec369687"/>
                <w:sz w:val="22"/>
                <w:szCs w:val="22"/>
              </w:rPr>
              <w:t xml:space="preserve"> </w:t>
            </w:r>
            <w:r w:rsidRPr="00105256">
              <w:rPr>
                <w:rFonts w:asciiTheme="majorHAnsi" w:hAnsiTheme="majorHAnsi" w:cs="AdvTTec369687"/>
                <w:sz w:val="22"/>
                <w:szCs w:val="22"/>
              </w:rPr>
              <w:t>demonstrated the advantage of markers recording provisional marks and reasons</w:t>
            </w:r>
            <w:r>
              <w:rPr>
                <w:rFonts w:asciiTheme="majorHAnsi" w:hAnsiTheme="majorHAnsi" w:cs="AdvTTec369687"/>
                <w:sz w:val="22"/>
                <w:szCs w:val="22"/>
              </w:rPr>
              <w:t xml:space="preserve"> </w:t>
            </w:r>
            <w:r w:rsidRPr="00105256">
              <w:rPr>
                <w:rFonts w:asciiTheme="majorHAnsi" w:hAnsiTheme="majorHAnsi" w:cs="AdvTTec369687"/>
                <w:sz w:val="22"/>
                <w:szCs w:val="22"/>
              </w:rPr>
              <w:t>prior to discussion over simply forming general impressions about individual works. Creating physical records formalises commitment to the decisions so that they can</w:t>
            </w:r>
            <w:r>
              <w:rPr>
                <w:rFonts w:asciiTheme="majorHAnsi" w:hAnsiTheme="majorHAnsi" w:cs="AdvTTec369687"/>
                <w:sz w:val="22"/>
                <w:szCs w:val="22"/>
              </w:rPr>
              <w:t xml:space="preserve"> </w:t>
            </w:r>
            <w:r w:rsidRPr="00105256">
              <w:rPr>
                <w:rFonts w:asciiTheme="majorHAnsi" w:hAnsiTheme="majorHAnsi" w:cs="AdvTTec369687"/>
                <w:sz w:val="22"/>
                <w:szCs w:val="22"/>
              </w:rPr>
              <w:t>function as concrete data for reaching consensus on marking. Formalisation also</w:t>
            </w:r>
            <w:r>
              <w:rPr>
                <w:rFonts w:asciiTheme="majorHAnsi" w:hAnsiTheme="majorHAnsi" w:cs="AdvTTec369687"/>
                <w:sz w:val="22"/>
                <w:szCs w:val="22"/>
              </w:rPr>
              <w:t xml:space="preserve"> </w:t>
            </w:r>
            <w:r w:rsidRPr="00105256">
              <w:rPr>
                <w:rFonts w:asciiTheme="majorHAnsi" w:hAnsiTheme="majorHAnsi" w:cs="AdvTTec369687"/>
                <w:sz w:val="22"/>
                <w:szCs w:val="22"/>
              </w:rPr>
              <w:t>has a positive in</w:t>
            </w:r>
            <w:r w:rsidRPr="00105256">
              <w:rPr>
                <w:rFonts w:asciiTheme="majorHAnsi" w:hAnsiTheme="majorHAnsi" w:cs="AdvTTec369687+fb"/>
                <w:sz w:val="22"/>
                <w:szCs w:val="22"/>
              </w:rPr>
              <w:t>fl</w:t>
            </w:r>
            <w:r w:rsidRPr="00105256">
              <w:rPr>
                <w:rFonts w:asciiTheme="majorHAnsi" w:hAnsiTheme="majorHAnsi" w:cs="AdvTTec369687"/>
                <w:sz w:val="22"/>
                <w:szCs w:val="22"/>
              </w:rPr>
              <w:t>uence on group dynamics, making it less likely for one assessor</w:t>
            </w:r>
            <w:r>
              <w:rPr>
                <w:rFonts w:asciiTheme="majorHAnsi" w:hAnsiTheme="majorHAnsi" w:cs="AdvTTec369687"/>
                <w:sz w:val="22"/>
                <w:szCs w:val="22"/>
              </w:rPr>
              <w:t xml:space="preserve"> </w:t>
            </w:r>
            <w:r w:rsidRPr="00105256">
              <w:rPr>
                <w:rFonts w:asciiTheme="majorHAnsi" w:hAnsiTheme="majorHAnsi" w:cs="AdvTTec369687"/>
                <w:sz w:val="22"/>
                <w:szCs w:val="22"/>
              </w:rPr>
              <w:t xml:space="preserve">to dominate discussion. After discussion, assessors mark their allocated </w:t>
            </w:r>
            <w:r w:rsidRPr="000857ED">
              <w:rPr>
                <w:rFonts w:asciiTheme="majorHAnsi" w:hAnsiTheme="majorHAnsi" w:cs="AdvTTec369687"/>
                <w:sz w:val="22"/>
                <w:szCs w:val="22"/>
              </w:rPr>
              <w:t>batches</w:t>
            </w:r>
            <w:r w:rsidR="000857ED">
              <w:rPr>
                <w:rFonts w:asciiTheme="majorHAnsi" w:hAnsiTheme="majorHAnsi" w:cs="AdvTTec369687"/>
                <w:sz w:val="22"/>
                <w:szCs w:val="22"/>
              </w:rPr>
              <w:t>’</w:t>
            </w:r>
            <w:r w:rsidRPr="000857ED">
              <w:rPr>
                <w:rFonts w:asciiTheme="majorHAnsi" w:hAnsiTheme="majorHAnsi" w:cs="AdvTTec369687"/>
                <w:sz w:val="22"/>
                <w:szCs w:val="22"/>
              </w:rPr>
              <w:t xml:space="preserve"> (</w:t>
            </w:r>
            <w:r w:rsidR="004E532D" w:rsidRPr="000857ED">
              <w:rPr>
                <w:rFonts w:asciiTheme="majorHAnsi" w:hAnsiTheme="majorHAnsi" w:cs="OpenSans"/>
                <w:sz w:val="22"/>
                <w:szCs w:val="22"/>
              </w:rPr>
              <w:t>Sadler</w:t>
            </w:r>
            <w:r w:rsidR="000857ED" w:rsidRPr="000857ED">
              <w:rPr>
                <w:rFonts w:asciiTheme="majorHAnsi" w:hAnsiTheme="majorHAnsi" w:cs="OpenSans"/>
                <w:sz w:val="22"/>
                <w:szCs w:val="22"/>
              </w:rPr>
              <w:t xml:space="preserve">, 2013, </w:t>
            </w:r>
            <w:r w:rsidR="000857ED">
              <w:rPr>
                <w:rFonts w:asciiTheme="majorHAnsi" w:hAnsiTheme="majorHAnsi" w:cs="AdvTTec369687"/>
                <w:sz w:val="22"/>
                <w:szCs w:val="22"/>
              </w:rPr>
              <w:t xml:space="preserve">pp. 7 - </w:t>
            </w:r>
            <w:r w:rsidRPr="000857ED">
              <w:rPr>
                <w:rFonts w:asciiTheme="majorHAnsi" w:hAnsiTheme="majorHAnsi" w:cs="AdvTTec369687"/>
                <w:sz w:val="22"/>
                <w:szCs w:val="22"/>
              </w:rPr>
              <w:t>8)</w:t>
            </w:r>
            <w:r w:rsidR="000857ED" w:rsidRPr="000857ED">
              <w:rPr>
                <w:rStyle w:val="FootnoteReference"/>
                <w:rFonts w:asciiTheme="majorHAnsi" w:hAnsiTheme="majorHAnsi" w:cs="AdvTTec369687"/>
                <w:sz w:val="22"/>
                <w:szCs w:val="22"/>
              </w:rPr>
              <w:footnoteReference w:id="1"/>
            </w:r>
            <w:r w:rsidR="000857ED">
              <w:rPr>
                <w:rFonts w:asciiTheme="majorHAnsi" w:hAnsiTheme="majorHAnsi" w:cs="AdvTTec369687"/>
                <w:sz w:val="22"/>
                <w:szCs w:val="22"/>
              </w:rPr>
              <w:t>.</w:t>
            </w:r>
          </w:p>
        </w:tc>
      </w:tr>
      <w:tr w:rsidR="00105256" w:rsidRPr="00105256" w:rsidTr="008C0D8E">
        <w:tc>
          <w:tcPr>
            <w:tcW w:w="2235" w:type="dxa"/>
          </w:tcPr>
          <w:p w:rsidR="00105256" w:rsidRPr="00105256" w:rsidRDefault="00105256" w:rsidP="00880000">
            <w:pPr>
              <w:rPr>
                <w:rFonts w:asciiTheme="majorHAnsi" w:hAnsiTheme="majorHAnsi" w:cs="Arial"/>
                <w:sz w:val="22"/>
                <w:szCs w:val="22"/>
              </w:rPr>
            </w:pPr>
            <w:r w:rsidRPr="00105256">
              <w:rPr>
                <w:rFonts w:asciiTheme="majorHAnsi" w:hAnsiTheme="majorHAnsi" w:cs="AdvTTec369687"/>
                <w:sz w:val="22"/>
                <w:szCs w:val="22"/>
              </w:rPr>
              <w:t>Standard:</w:t>
            </w:r>
          </w:p>
        </w:tc>
        <w:tc>
          <w:tcPr>
            <w:tcW w:w="11941" w:type="dxa"/>
          </w:tcPr>
          <w:p w:rsidR="00105256" w:rsidRPr="00921A05" w:rsidRDefault="004E532D" w:rsidP="00921A05">
            <w:pPr>
              <w:autoSpaceDE w:val="0"/>
              <w:autoSpaceDN w:val="0"/>
              <w:adjustRightInd w:val="0"/>
              <w:rPr>
                <w:rStyle w:val="Strong"/>
                <w:rFonts w:asciiTheme="majorHAnsi" w:hAnsiTheme="majorHAnsi" w:cs="AdvTTec369687"/>
                <w:b w:val="0"/>
                <w:bCs w:val="0"/>
                <w:sz w:val="22"/>
                <w:szCs w:val="22"/>
              </w:rPr>
            </w:pPr>
            <w:r>
              <w:rPr>
                <w:rFonts w:asciiTheme="majorHAnsi" w:hAnsiTheme="majorHAnsi" w:cs="AdvTTec369687"/>
                <w:sz w:val="22"/>
                <w:szCs w:val="22"/>
              </w:rPr>
              <w:t>‘</w:t>
            </w:r>
            <w:r w:rsidR="00105256" w:rsidRPr="00105256">
              <w:rPr>
                <w:rFonts w:asciiTheme="majorHAnsi" w:hAnsiTheme="majorHAnsi" w:cs="AdvTTec369687"/>
                <w:sz w:val="22"/>
                <w:szCs w:val="22"/>
              </w:rPr>
              <w:t>A de</w:t>
            </w:r>
            <w:r w:rsidR="00105256" w:rsidRPr="00105256">
              <w:rPr>
                <w:rFonts w:asciiTheme="majorHAnsi" w:hAnsiTheme="majorHAnsi" w:cs="AdvTTec369687+fb"/>
                <w:sz w:val="22"/>
                <w:szCs w:val="22"/>
              </w:rPr>
              <w:t>fi</w:t>
            </w:r>
            <w:r w:rsidR="00105256" w:rsidRPr="00105256">
              <w:rPr>
                <w:rFonts w:asciiTheme="majorHAnsi" w:hAnsiTheme="majorHAnsi" w:cs="AdvTTec369687"/>
                <w:sz w:val="22"/>
                <w:szCs w:val="22"/>
              </w:rPr>
              <w:t>nite degree of academic achievement established by authority, custom,</w:t>
            </w:r>
            <w:r w:rsidR="00105256">
              <w:rPr>
                <w:rFonts w:asciiTheme="majorHAnsi" w:hAnsiTheme="majorHAnsi" w:cs="AdvTTec369687"/>
                <w:sz w:val="22"/>
                <w:szCs w:val="22"/>
              </w:rPr>
              <w:t xml:space="preserve"> </w:t>
            </w:r>
            <w:r w:rsidR="00105256" w:rsidRPr="00105256">
              <w:rPr>
                <w:rFonts w:asciiTheme="majorHAnsi" w:hAnsiTheme="majorHAnsi" w:cs="AdvTTec369687"/>
                <w:sz w:val="22"/>
                <w:szCs w:val="22"/>
              </w:rPr>
              <w:t xml:space="preserve">or consensus and used as a </w:t>
            </w:r>
            <w:r w:rsidR="00105256" w:rsidRPr="00105256">
              <w:rPr>
                <w:rFonts w:asciiTheme="majorHAnsi" w:hAnsiTheme="majorHAnsi" w:cs="AdvTTec369687+fb"/>
                <w:sz w:val="22"/>
                <w:szCs w:val="22"/>
              </w:rPr>
              <w:t>fi</w:t>
            </w:r>
            <w:r w:rsidR="00105256" w:rsidRPr="00105256">
              <w:rPr>
                <w:rFonts w:asciiTheme="majorHAnsi" w:hAnsiTheme="majorHAnsi" w:cs="AdvTTec369687"/>
                <w:sz w:val="22"/>
                <w:szCs w:val="22"/>
              </w:rPr>
              <w:t>xed reference point for reporting a student</w:t>
            </w:r>
            <w:r w:rsidR="00105256" w:rsidRPr="00105256">
              <w:rPr>
                <w:rFonts w:asciiTheme="majorHAnsi" w:hAnsiTheme="majorHAnsi" w:cs="AdvTTec369687+20"/>
                <w:sz w:val="22"/>
                <w:szCs w:val="22"/>
              </w:rPr>
              <w:t>’</w:t>
            </w:r>
            <w:r w:rsidR="00105256" w:rsidRPr="00105256">
              <w:rPr>
                <w:rFonts w:asciiTheme="majorHAnsi" w:hAnsiTheme="majorHAnsi" w:cs="AdvTTec369687"/>
                <w:sz w:val="22"/>
                <w:szCs w:val="22"/>
              </w:rPr>
              <w:t>s level of</w:t>
            </w:r>
            <w:r w:rsidR="00105256">
              <w:rPr>
                <w:rFonts w:asciiTheme="majorHAnsi" w:hAnsiTheme="majorHAnsi" w:cs="AdvTTec369687"/>
                <w:sz w:val="22"/>
                <w:szCs w:val="22"/>
              </w:rPr>
              <w:t xml:space="preserve"> </w:t>
            </w:r>
            <w:r w:rsidR="00105256" w:rsidRPr="00921A05">
              <w:rPr>
                <w:rFonts w:asciiTheme="majorHAnsi" w:hAnsiTheme="majorHAnsi" w:cs="AdvTTec369687"/>
                <w:sz w:val="22"/>
                <w:szCs w:val="22"/>
              </w:rPr>
              <w:t>attainment</w:t>
            </w:r>
            <w:r w:rsidRPr="00921A05">
              <w:rPr>
                <w:rFonts w:asciiTheme="majorHAnsi" w:hAnsiTheme="majorHAnsi" w:cs="AdvTTec369687"/>
                <w:sz w:val="22"/>
                <w:szCs w:val="22"/>
              </w:rPr>
              <w:t>’</w:t>
            </w:r>
            <w:r w:rsidR="00921A05" w:rsidRPr="00921A05">
              <w:rPr>
                <w:rFonts w:asciiTheme="majorHAnsi" w:hAnsiTheme="majorHAnsi" w:cs="AdvTTec369687"/>
                <w:sz w:val="22"/>
                <w:szCs w:val="22"/>
              </w:rPr>
              <w:t xml:space="preserve"> (</w:t>
            </w:r>
            <w:r w:rsidRPr="00921A05">
              <w:rPr>
                <w:rFonts w:asciiTheme="majorHAnsi" w:hAnsiTheme="majorHAnsi" w:cs="OpenSans"/>
                <w:sz w:val="22"/>
                <w:szCs w:val="22"/>
              </w:rPr>
              <w:t>Sadler</w:t>
            </w:r>
            <w:r w:rsidR="00921A05" w:rsidRPr="00921A05">
              <w:rPr>
                <w:rFonts w:asciiTheme="majorHAnsi" w:hAnsiTheme="majorHAnsi" w:cs="OpenSans"/>
                <w:sz w:val="22"/>
                <w:szCs w:val="22"/>
              </w:rPr>
              <w:t xml:space="preserve">, </w:t>
            </w:r>
            <w:r w:rsidRPr="00921A05">
              <w:rPr>
                <w:rFonts w:asciiTheme="majorHAnsi" w:hAnsiTheme="majorHAnsi" w:cs="OpenSans"/>
                <w:sz w:val="22"/>
                <w:szCs w:val="22"/>
              </w:rPr>
              <w:t>2013</w:t>
            </w:r>
            <w:r w:rsidR="00921A05" w:rsidRPr="00921A05">
              <w:rPr>
                <w:rFonts w:asciiTheme="majorHAnsi" w:hAnsiTheme="majorHAnsi" w:cs="OpenSans"/>
                <w:sz w:val="22"/>
                <w:szCs w:val="22"/>
              </w:rPr>
              <w:t>, p. 13</w:t>
            </w:r>
            <w:r w:rsidRPr="00921A05">
              <w:rPr>
                <w:rFonts w:asciiTheme="majorHAnsi" w:hAnsiTheme="majorHAnsi" w:cs="OpenSans"/>
                <w:sz w:val="22"/>
                <w:szCs w:val="22"/>
              </w:rPr>
              <w:t>)</w:t>
            </w:r>
          </w:p>
        </w:tc>
      </w:tr>
      <w:tr w:rsidR="00105256" w:rsidRPr="00105256" w:rsidTr="008C0D8E">
        <w:tc>
          <w:tcPr>
            <w:tcW w:w="2235" w:type="dxa"/>
          </w:tcPr>
          <w:p w:rsidR="00105256" w:rsidRPr="00105256" w:rsidRDefault="008C0D8E" w:rsidP="00880000">
            <w:pPr>
              <w:rPr>
                <w:rFonts w:asciiTheme="majorHAnsi" w:hAnsiTheme="majorHAnsi" w:cs="Arial"/>
                <w:sz w:val="22"/>
                <w:szCs w:val="22"/>
              </w:rPr>
            </w:pPr>
            <w:r w:rsidRPr="00105256">
              <w:rPr>
                <w:rFonts w:asciiTheme="majorHAnsi" w:hAnsiTheme="majorHAnsi" w:cs="Arial"/>
                <w:sz w:val="22"/>
                <w:szCs w:val="22"/>
              </w:rPr>
              <w:t>Calibration</w:t>
            </w:r>
          </w:p>
        </w:tc>
        <w:tc>
          <w:tcPr>
            <w:tcW w:w="11941" w:type="dxa"/>
          </w:tcPr>
          <w:p w:rsidR="008C0D8E" w:rsidRPr="00B733E7" w:rsidRDefault="00B733E7" w:rsidP="004E532D">
            <w:pPr>
              <w:autoSpaceDE w:val="0"/>
              <w:autoSpaceDN w:val="0"/>
              <w:adjustRightInd w:val="0"/>
              <w:rPr>
                <w:rStyle w:val="Strong"/>
                <w:rFonts w:asciiTheme="majorHAnsi" w:hAnsiTheme="majorHAnsi" w:cs="AdvTTec369687"/>
                <w:b w:val="0"/>
                <w:bCs w:val="0"/>
                <w:sz w:val="22"/>
                <w:szCs w:val="22"/>
              </w:rPr>
            </w:pPr>
            <w:r>
              <w:rPr>
                <w:rFonts w:asciiTheme="majorHAnsi" w:hAnsiTheme="majorHAnsi" w:cs="AdvTTec369687"/>
                <w:sz w:val="22"/>
                <w:szCs w:val="22"/>
              </w:rPr>
              <w:t>‘</w:t>
            </w:r>
            <w:r w:rsidR="00105256" w:rsidRPr="00105256">
              <w:rPr>
                <w:rFonts w:asciiTheme="majorHAnsi" w:hAnsiTheme="majorHAnsi" w:cs="AdvTTec369687"/>
                <w:sz w:val="22"/>
                <w:szCs w:val="22"/>
              </w:rPr>
              <w:t xml:space="preserve">Whereas moderation </w:t>
            </w:r>
            <w:r w:rsidR="004E532D">
              <w:rPr>
                <w:rFonts w:asciiTheme="majorHAnsi" w:hAnsiTheme="majorHAnsi" w:cs="AdvTTec369687"/>
                <w:sz w:val="22"/>
                <w:szCs w:val="22"/>
              </w:rPr>
              <w:t xml:space="preserve">is </w:t>
            </w:r>
            <w:r w:rsidR="00105256" w:rsidRPr="00105256">
              <w:rPr>
                <w:rFonts w:asciiTheme="majorHAnsi" w:hAnsiTheme="majorHAnsi" w:cs="AdvTTec369687"/>
                <w:sz w:val="22"/>
                <w:szCs w:val="22"/>
              </w:rPr>
              <w:t>relevant for a single assessment task is repeated for subsequent</w:t>
            </w:r>
            <w:r w:rsidR="00105256">
              <w:rPr>
                <w:rFonts w:asciiTheme="majorHAnsi" w:hAnsiTheme="majorHAnsi" w:cs="AdvTTec369687"/>
                <w:sz w:val="22"/>
                <w:szCs w:val="22"/>
              </w:rPr>
              <w:t xml:space="preserve"> </w:t>
            </w:r>
            <w:r w:rsidR="00105256" w:rsidRPr="00105256">
              <w:rPr>
                <w:rFonts w:asciiTheme="majorHAnsi" w:hAnsiTheme="majorHAnsi" w:cs="AdvTTec369687"/>
                <w:sz w:val="22"/>
                <w:szCs w:val="22"/>
              </w:rPr>
              <w:t xml:space="preserve">tasks, the ultimate objective is the development of </w:t>
            </w:r>
            <w:r>
              <w:rPr>
                <w:rFonts w:asciiTheme="majorHAnsi" w:hAnsiTheme="majorHAnsi" w:cs="AdvTTec369687+20"/>
                <w:sz w:val="22"/>
                <w:szCs w:val="22"/>
              </w:rPr>
              <w:t>“</w:t>
            </w:r>
            <w:r w:rsidR="00105256" w:rsidRPr="00105256">
              <w:rPr>
                <w:rFonts w:asciiTheme="majorHAnsi" w:hAnsiTheme="majorHAnsi" w:cs="AdvTTec369687"/>
                <w:sz w:val="22"/>
                <w:szCs w:val="22"/>
              </w:rPr>
              <w:t>calibrated</w:t>
            </w:r>
            <w:r>
              <w:rPr>
                <w:rFonts w:asciiTheme="majorHAnsi" w:hAnsiTheme="majorHAnsi" w:cs="AdvTTec369687+20"/>
                <w:sz w:val="22"/>
                <w:szCs w:val="22"/>
              </w:rPr>
              <w:t>”</w:t>
            </w:r>
            <w:r w:rsidR="00105256" w:rsidRPr="00105256">
              <w:rPr>
                <w:rFonts w:asciiTheme="majorHAnsi" w:hAnsiTheme="majorHAnsi" w:cs="AdvTTec369687+20"/>
                <w:sz w:val="22"/>
                <w:szCs w:val="22"/>
              </w:rPr>
              <w:t xml:space="preserve"> </w:t>
            </w:r>
            <w:r w:rsidR="004E532D">
              <w:rPr>
                <w:rFonts w:asciiTheme="majorHAnsi" w:hAnsiTheme="majorHAnsi" w:cs="AdvTTec369687"/>
                <w:sz w:val="22"/>
                <w:szCs w:val="22"/>
              </w:rPr>
              <w:t xml:space="preserve">academics … </w:t>
            </w:r>
            <w:r w:rsidR="00105256" w:rsidRPr="00105256">
              <w:rPr>
                <w:rFonts w:asciiTheme="majorHAnsi" w:hAnsiTheme="majorHAnsi" w:cs="AdvTTec369687"/>
                <w:sz w:val="22"/>
                <w:szCs w:val="22"/>
              </w:rPr>
              <w:t xml:space="preserve">Through engagement with certain calibration procedures, </w:t>
            </w:r>
            <w:proofErr w:type="gramStart"/>
            <w:r w:rsidR="00105256" w:rsidRPr="00105256">
              <w:rPr>
                <w:rFonts w:asciiTheme="majorHAnsi" w:hAnsiTheme="majorHAnsi" w:cs="AdvTTec369687"/>
                <w:sz w:val="22"/>
                <w:szCs w:val="22"/>
              </w:rPr>
              <w:t>assessors</w:t>
            </w:r>
            <w:proofErr w:type="gramEnd"/>
            <w:r w:rsidR="00105256" w:rsidRPr="00105256">
              <w:rPr>
                <w:rFonts w:asciiTheme="majorHAnsi" w:hAnsiTheme="majorHAnsi" w:cs="AdvTTec369687"/>
                <w:sz w:val="22"/>
                <w:szCs w:val="22"/>
              </w:rPr>
              <w:t xml:space="preserve"> become able to</w:t>
            </w:r>
            <w:r w:rsidR="008C0D8E">
              <w:rPr>
                <w:rFonts w:asciiTheme="majorHAnsi" w:hAnsiTheme="majorHAnsi" w:cs="AdvTTec369687"/>
                <w:sz w:val="22"/>
                <w:szCs w:val="22"/>
              </w:rPr>
              <w:t xml:space="preserve"> </w:t>
            </w:r>
            <w:r w:rsidR="00105256" w:rsidRPr="00105256">
              <w:rPr>
                <w:rFonts w:asciiTheme="majorHAnsi" w:hAnsiTheme="majorHAnsi" w:cs="AdvTTec369687"/>
                <w:sz w:val="22"/>
                <w:szCs w:val="22"/>
              </w:rPr>
              <w:t>tune their judgement-making ability. Professionally calibrated assessors would</w:t>
            </w:r>
            <w:r w:rsidR="008C0D8E">
              <w:rPr>
                <w:rFonts w:asciiTheme="majorHAnsi" w:hAnsiTheme="majorHAnsi" w:cs="AdvTTec369687"/>
                <w:sz w:val="22"/>
                <w:szCs w:val="22"/>
              </w:rPr>
              <w:t xml:space="preserve"> </w:t>
            </w:r>
            <w:r w:rsidR="00105256" w:rsidRPr="00105256">
              <w:rPr>
                <w:rFonts w:asciiTheme="majorHAnsi" w:hAnsiTheme="majorHAnsi" w:cs="AdvTTec369687"/>
                <w:sz w:val="22"/>
                <w:szCs w:val="22"/>
              </w:rPr>
              <w:t>accept responsibility for grading against agreed achievement standards, participate</w:t>
            </w:r>
            <w:r w:rsidR="008C0D8E">
              <w:rPr>
                <w:rFonts w:asciiTheme="majorHAnsi" w:hAnsiTheme="majorHAnsi" w:cs="AdvTTec369687"/>
                <w:sz w:val="22"/>
                <w:szCs w:val="22"/>
              </w:rPr>
              <w:t xml:space="preserve"> </w:t>
            </w:r>
            <w:r w:rsidR="00105256" w:rsidRPr="00105256">
              <w:rPr>
                <w:rFonts w:asciiTheme="majorHAnsi" w:hAnsiTheme="majorHAnsi" w:cs="AdvTTec369687"/>
                <w:sz w:val="22"/>
                <w:szCs w:val="22"/>
              </w:rPr>
              <w:t>in periodic (but not continuous) checking and recalibration, perform the bulk of the</w:t>
            </w:r>
            <w:r w:rsidR="00397E97">
              <w:rPr>
                <w:rFonts w:asciiTheme="majorHAnsi" w:hAnsiTheme="majorHAnsi" w:cs="AdvTTec369687"/>
                <w:sz w:val="22"/>
                <w:szCs w:val="22"/>
              </w:rPr>
              <w:t xml:space="preserve"> </w:t>
            </w:r>
            <w:r w:rsidR="00105256" w:rsidRPr="00105256">
              <w:rPr>
                <w:rFonts w:asciiTheme="majorHAnsi" w:hAnsiTheme="majorHAnsi" w:cs="AdvTTec369687"/>
                <w:sz w:val="22"/>
                <w:szCs w:val="22"/>
              </w:rPr>
              <w:t>decision-making independently, and consistently produce grades with the desired</w:t>
            </w:r>
            <w:r w:rsidR="008C0D8E">
              <w:rPr>
                <w:rFonts w:asciiTheme="majorHAnsi" w:hAnsiTheme="majorHAnsi" w:cs="AdvTTec369687"/>
                <w:sz w:val="22"/>
                <w:szCs w:val="22"/>
              </w:rPr>
              <w:t xml:space="preserve"> </w:t>
            </w:r>
            <w:r w:rsidR="00105256" w:rsidRPr="00105256">
              <w:rPr>
                <w:rFonts w:asciiTheme="majorHAnsi" w:hAnsiTheme="majorHAnsi" w:cs="AdvTTec369687"/>
                <w:sz w:val="22"/>
                <w:szCs w:val="22"/>
              </w:rPr>
              <w:t>properties without the need for third-party con</w:t>
            </w:r>
            <w:r w:rsidR="00105256" w:rsidRPr="00105256">
              <w:rPr>
                <w:rFonts w:asciiTheme="majorHAnsi" w:hAnsiTheme="majorHAnsi" w:cs="AdvTTec369687+fb"/>
                <w:sz w:val="22"/>
                <w:szCs w:val="22"/>
              </w:rPr>
              <w:t>fi</w:t>
            </w:r>
            <w:r w:rsidR="00105256" w:rsidRPr="00105256">
              <w:rPr>
                <w:rFonts w:asciiTheme="majorHAnsi" w:hAnsiTheme="majorHAnsi" w:cs="AdvTTec369687"/>
                <w:sz w:val="22"/>
                <w:szCs w:val="22"/>
              </w:rPr>
              <w:t>rmation or adjustment</w:t>
            </w:r>
            <w:r w:rsidR="004E532D">
              <w:rPr>
                <w:rFonts w:asciiTheme="majorHAnsi" w:hAnsiTheme="majorHAnsi" w:cs="AdvTTec369687"/>
                <w:sz w:val="22"/>
                <w:szCs w:val="22"/>
              </w:rPr>
              <w:t>’ (</w:t>
            </w:r>
            <w:r w:rsidR="004E532D" w:rsidRPr="00105256">
              <w:rPr>
                <w:rFonts w:asciiTheme="majorHAnsi" w:hAnsiTheme="majorHAnsi" w:cs="OpenSans"/>
                <w:sz w:val="22"/>
                <w:szCs w:val="22"/>
              </w:rPr>
              <w:t>Sadler</w:t>
            </w:r>
            <w:r>
              <w:rPr>
                <w:rFonts w:asciiTheme="majorHAnsi" w:hAnsiTheme="majorHAnsi" w:cs="OpenSans"/>
                <w:sz w:val="22"/>
                <w:szCs w:val="22"/>
              </w:rPr>
              <w:t xml:space="preserve">, </w:t>
            </w:r>
            <w:r w:rsidR="004E532D" w:rsidRPr="00105256">
              <w:rPr>
                <w:rFonts w:asciiTheme="majorHAnsi" w:hAnsiTheme="majorHAnsi" w:cs="OpenSans"/>
                <w:sz w:val="22"/>
                <w:szCs w:val="22"/>
              </w:rPr>
              <w:t>2013</w:t>
            </w:r>
            <w:r>
              <w:rPr>
                <w:rFonts w:asciiTheme="majorHAnsi" w:hAnsiTheme="majorHAnsi" w:cs="OpenSans"/>
                <w:sz w:val="22"/>
                <w:szCs w:val="22"/>
              </w:rPr>
              <w:t>, pp. 17 -18</w:t>
            </w:r>
            <w:r w:rsidR="004E532D" w:rsidRPr="00105256">
              <w:rPr>
                <w:rFonts w:asciiTheme="majorHAnsi" w:hAnsiTheme="majorHAnsi" w:cs="OpenSans"/>
                <w:sz w:val="22"/>
                <w:szCs w:val="22"/>
              </w:rPr>
              <w:t>)</w:t>
            </w:r>
            <w:r w:rsidR="004E532D">
              <w:rPr>
                <w:rFonts w:asciiTheme="majorHAnsi" w:hAnsiTheme="majorHAnsi" w:cs="OpenSans"/>
                <w:sz w:val="22"/>
                <w:szCs w:val="22"/>
              </w:rPr>
              <w:t>.</w:t>
            </w:r>
            <w:r w:rsidR="004E532D">
              <w:rPr>
                <w:rFonts w:asciiTheme="majorHAnsi" w:hAnsiTheme="majorHAnsi" w:cs="Arial"/>
                <w:sz w:val="22"/>
                <w:szCs w:val="22"/>
              </w:rPr>
              <w:t xml:space="preserve"> </w:t>
            </w:r>
            <w:r w:rsidR="004E532D">
              <w:rPr>
                <w:rFonts w:asciiTheme="majorHAnsi" w:hAnsiTheme="majorHAnsi" w:cs="Arial"/>
                <w:sz w:val="22"/>
                <w:szCs w:val="22"/>
              </w:rPr>
              <w:t>Therefore calibration is the process that occurs before marking takes place, it could be part of pre-moderation processes.</w:t>
            </w:r>
          </w:p>
        </w:tc>
      </w:tr>
      <w:tr w:rsidR="00880000" w:rsidRPr="00105256" w:rsidTr="008C0D8E">
        <w:tc>
          <w:tcPr>
            <w:tcW w:w="2235" w:type="dxa"/>
          </w:tcPr>
          <w:p w:rsidR="00880000" w:rsidRPr="00105256" w:rsidRDefault="00880000" w:rsidP="00880000">
            <w:pPr>
              <w:rPr>
                <w:rFonts w:asciiTheme="majorHAnsi" w:hAnsiTheme="majorHAnsi" w:cs="Arial"/>
                <w:sz w:val="22"/>
                <w:szCs w:val="22"/>
              </w:rPr>
            </w:pPr>
            <w:r w:rsidRPr="00105256">
              <w:rPr>
                <w:rFonts w:asciiTheme="majorHAnsi" w:hAnsiTheme="majorHAnsi" w:cs="Arial"/>
                <w:sz w:val="22"/>
                <w:szCs w:val="22"/>
              </w:rPr>
              <w:t>Benchmarking</w:t>
            </w:r>
          </w:p>
          <w:p w:rsidR="00880000" w:rsidRPr="00105256" w:rsidRDefault="00880000">
            <w:pPr>
              <w:rPr>
                <w:rFonts w:asciiTheme="majorHAnsi" w:hAnsiTheme="majorHAnsi" w:cs="Arial"/>
                <w:sz w:val="22"/>
                <w:szCs w:val="22"/>
              </w:rPr>
            </w:pPr>
          </w:p>
        </w:tc>
        <w:tc>
          <w:tcPr>
            <w:tcW w:w="11941" w:type="dxa"/>
          </w:tcPr>
          <w:p w:rsidR="009606B7" w:rsidRPr="00105256" w:rsidRDefault="004E532D" w:rsidP="009606B7">
            <w:pPr>
              <w:autoSpaceDE w:val="0"/>
              <w:autoSpaceDN w:val="0"/>
              <w:adjustRightInd w:val="0"/>
              <w:rPr>
                <w:rFonts w:asciiTheme="majorHAnsi" w:hAnsiTheme="majorHAnsi" w:cs="Arial"/>
                <w:sz w:val="22"/>
                <w:szCs w:val="22"/>
              </w:rPr>
            </w:pPr>
            <w:r>
              <w:rPr>
                <w:rFonts w:asciiTheme="majorHAnsi" w:hAnsiTheme="majorHAnsi" w:cs="Arial"/>
                <w:sz w:val="22"/>
                <w:szCs w:val="22"/>
              </w:rPr>
              <w:t>‘</w:t>
            </w:r>
            <w:r w:rsidR="00B71965" w:rsidRPr="00105256">
              <w:rPr>
                <w:rFonts w:asciiTheme="majorHAnsi" w:hAnsiTheme="majorHAnsi" w:cs="Arial"/>
                <w:sz w:val="22"/>
                <w:szCs w:val="22"/>
              </w:rPr>
              <w:t>A structured, collaborative, learning process for comparing practices, processes or performance outcomes. Its purpose is to identify comparative strengths and weaknesses, as a basis for developing improvements in academic quality. Benchmarking can also be defined as a quality process to evaluate performance by comparing institutional practices to sector good practice.</w:t>
            </w:r>
            <w:r>
              <w:rPr>
                <w:rFonts w:asciiTheme="majorHAnsi" w:hAnsiTheme="majorHAnsi" w:cs="Arial"/>
                <w:sz w:val="22"/>
                <w:szCs w:val="22"/>
              </w:rPr>
              <w:t>’</w:t>
            </w:r>
            <w:r w:rsidR="00B71965" w:rsidRPr="00105256">
              <w:rPr>
                <w:rFonts w:asciiTheme="majorHAnsi" w:hAnsiTheme="majorHAnsi" w:cs="Arial"/>
                <w:sz w:val="22"/>
                <w:szCs w:val="22"/>
              </w:rPr>
              <w:t xml:space="preserve"> </w:t>
            </w:r>
          </w:p>
          <w:p w:rsidR="00880000" w:rsidRPr="00105256" w:rsidRDefault="00B71965">
            <w:pPr>
              <w:rPr>
                <w:rFonts w:asciiTheme="majorHAnsi" w:hAnsiTheme="majorHAnsi" w:cs="Arial"/>
                <w:i/>
                <w:sz w:val="22"/>
                <w:szCs w:val="22"/>
              </w:rPr>
            </w:pPr>
            <w:r w:rsidRPr="00105256">
              <w:rPr>
                <w:rFonts w:asciiTheme="majorHAnsi" w:hAnsiTheme="majorHAnsi" w:cs="Arial"/>
                <w:i/>
                <w:sz w:val="22"/>
                <w:szCs w:val="22"/>
              </w:rPr>
              <w:t>TEQSA Guidance Note benchmarking http:/www.teqsa.gove.au/sites/default/files/bemchmarkingGNFinal_0.pdf</w:t>
            </w:r>
          </w:p>
        </w:tc>
      </w:tr>
      <w:tr w:rsidR="007C2DD9" w:rsidRPr="00105256" w:rsidTr="008C0D8E">
        <w:tc>
          <w:tcPr>
            <w:tcW w:w="2235" w:type="dxa"/>
          </w:tcPr>
          <w:p w:rsidR="007C2DD9" w:rsidRPr="00105256" w:rsidRDefault="007C2DD9" w:rsidP="00880000">
            <w:pPr>
              <w:rPr>
                <w:rFonts w:asciiTheme="majorHAnsi" w:hAnsiTheme="majorHAnsi" w:cs="Arial"/>
                <w:sz w:val="22"/>
                <w:szCs w:val="22"/>
              </w:rPr>
            </w:pPr>
            <w:r w:rsidRPr="00105256">
              <w:rPr>
                <w:rFonts w:asciiTheme="majorHAnsi" w:hAnsiTheme="majorHAnsi" w:cs="Arial"/>
                <w:sz w:val="22"/>
                <w:szCs w:val="22"/>
              </w:rPr>
              <w:t>External referencing</w:t>
            </w:r>
          </w:p>
        </w:tc>
        <w:tc>
          <w:tcPr>
            <w:tcW w:w="11941" w:type="dxa"/>
          </w:tcPr>
          <w:p w:rsidR="007C2DD9" w:rsidRPr="00105256" w:rsidRDefault="004E532D" w:rsidP="007C2DD9">
            <w:pPr>
              <w:autoSpaceDE w:val="0"/>
              <w:autoSpaceDN w:val="0"/>
              <w:adjustRightInd w:val="0"/>
              <w:rPr>
                <w:rFonts w:asciiTheme="majorHAnsi" w:hAnsiTheme="majorHAnsi" w:cs="Arial"/>
                <w:sz w:val="22"/>
                <w:szCs w:val="22"/>
              </w:rPr>
            </w:pPr>
            <w:r>
              <w:rPr>
                <w:rFonts w:asciiTheme="majorHAnsi" w:hAnsiTheme="majorHAnsi" w:cs="Arial"/>
                <w:sz w:val="22"/>
                <w:szCs w:val="22"/>
              </w:rPr>
              <w:t>‘</w:t>
            </w:r>
            <w:r w:rsidR="007C2DD9" w:rsidRPr="00105256">
              <w:rPr>
                <w:rFonts w:asciiTheme="majorHAnsi" w:hAnsiTheme="majorHAnsi" w:cs="Arial"/>
                <w:sz w:val="22"/>
                <w:szCs w:val="22"/>
              </w:rPr>
              <w:t>External referencing means a process through which a higher education provider compares an aspect of its operations with an external comparator(s) e.g. comparing the design of a course of study and/or student achievement of learning outcomes with that of a course from another provider</w:t>
            </w:r>
            <w:r>
              <w:rPr>
                <w:rFonts w:asciiTheme="majorHAnsi" w:hAnsiTheme="majorHAnsi" w:cs="Arial"/>
                <w:sz w:val="22"/>
                <w:szCs w:val="22"/>
              </w:rPr>
              <w:t>’</w:t>
            </w:r>
            <w:r w:rsidR="007C2DD9" w:rsidRPr="00105256">
              <w:rPr>
                <w:rFonts w:asciiTheme="majorHAnsi" w:hAnsiTheme="majorHAnsi" w:cs="Arial"/>
                <w:sz w:val="22"/>
                <w:szCs w:val="22"/>
              </w:rPr>
              <w:t>.</w:t>
            </w:r>
            <w:r w:rsidR="007C2DD9" w:rsidRPr="00105256">
              <w:rPr>
                <w:rFonts w:asciiTheme="majorHAnsi" w:hAnsiTheme="majorHAnsi"/>
                <w:sz w:val="22"/>
                <w:szCs w:val="22"/>
              </w:rPr>
              <w:t xml:space="preserve"> </w:t>
            </w:r>
            <w:r w:rsidR="007C2DD9" w:rsidRPr="00105256">
              <w:rPr>
                <w:rFonts w:asciiTheme="majorHAnsi" w:hAnsiTheme="majorHAnsi" w:cs="Arial"/>
                <w:i/>
                <w:sz w:val="22"/>
                <w:szCs w:val="22"/>
              </w:rPr>
              <w:t>http://www.teqsa.gov.au/sites/default/files/GuidanceNote_ExternalReferencing2.1.pdf</w:t>
            </w:r>
          </w:p>
        </w:tc>
      </w:tr>
      <w:tr w:rsidR="00880000" w:rsidRPr="00105256" w:rsidTr="008C0D8E">
        <w:tc>
          <w:tcPr>
            <w:tcW w:w="2235" w:type="dxa"/>
          </w:tcPr>
          <w:p w:rsidR="00880000" w:rsidRPr="00105256" w:rsidRDefault="00880000" w:rsidP="00880000">
            <w:pPr>
              <w:rPr>
                <w:rFonts w:asciiTheme="majorHAnsi" w:hAnsiTheme="majorHAnsi" w:cs="Arial"/>
                <w:sz w:val="22"/>
                <w:szCs w:val="22"/>
              </w:rPr>
            </w:pPr>
            <w:r w:rsidRPr="00105256">
              <w:rPr>
                <w:rFonts w:asciiTheme="majorHAnsi" w:hAnsiTheme="majorHAnsi" w:cs="Arial"/>
                <w:sz w:val="22"/>
                <w:szCs w:val="22"/>
              </w:rPr>
              <w:t>Peer review</w:t>
            </w:r>
          </w:p>
          <w:p w:rsidR="00880000" w:rsidRPr="00105256" w:rsidRDefault="00880000">
            <w:pPr>
              <w:rPr>
                <w:rFonts w:asciiTheme="majorHAnsi" w:hAnsiTheme="majorHAnsi" w:cs="Arial"/>
                <w:sz w:val="22"/>
                <w:szCs w:val="22"/>
              </w:rPr>
            </w:pPr>
          </w:p>
        </w:tc>
        <w:tc>
          <w:tcPr>
            <w:tcW w:w="11941" w:type="dxa"/>
          </w:tcPr>
          <w:p w:rsidR="00880000" w:rsidRPr="00105256" w:rsidRDefault="009606B7" w:rsidP="00313A93">
            <w:pPr>
              <w:autoSpaceDE w:val="0"/>
              <w:autoSpaceDN w:val="0"/>
              <w:adjustRightInd w:val="0"/>
              <w:rPr>
                <w:rFonts w:asciiTheme="majorHAnsi" w:hAnsiTheme="majorHAnsi" w:cs="Arial"/>
                <w:sz w:val="22"/>
                <w:szCs w:val="22"/>
              </w:rPr>
            </w:pPr>
            <w:r w:rsidRPr="00105256">
              <w:rPr>
                <w:rFonts w:asciiTheme="majorHAnsi" w:hAnsiTheme="majorHAnsi" w:cs="Arial"/>
                <w:sz w:val="22"/>
                <w:szCs w:val="22"/>
              </w:rPr>
              <w:t>Peer review refers to a summative process generally conducted against specified standards that have the capacity to illuminate high quality examples of best practice. Increasingly such reviewers are experts ‘with qualifications and standing in the higher education sector who are capable of assessing the worth and value of teaching resources and similar artefacts’ (</w:t>
            </w:r>
            <w:r w:rsidRPr="00105256">
              <w:rPr>
                <w:rFonts w:asciiTheme="majorHAnsi" w:hAnsiTheme="majorHAnsi" w:cs="Arial"/>
                <w:iCs/>
                <w:sz w:val="22"/>
                <w:szCs w:val="22"/>
              </w:rPr>
              <w:t xml:space="preserve">Philip, </w:t>
            </w:r>
            <w:proofErr w:type="spellStart"/>
            <w:r w:rsidRPr="00105256">
              <w:rPr>
                <w:rFonts w:asciiTheme="majorHAnsi" w:hAnsiTheme="majorHAnsi" w:cs="Arial"/>
                <w:iCs/>
                <w:sz w:val="22"/>
                <w:szCs w:val="22"/>
              </w:rPr>
              <w:t>Lefoe</w:t>
            </w:r>
            <w:proofErr w:type="spellEnd"/>
            <w:r w:rsidRPr="00105256">
              <w:rPr>
                <w:rFonts w:asciiTheme="majorHAnsi" w:hAnsiTheme="majorHAnsi" w:cs="Arial"/>
                <w:iCs/>
                <w:sz w:val="22"/>
                <w:szCs w:val="22"/>
              </w:rPr>
              <w:t>, O'Reilly and Parrish, 2008, p</w:t>
            </w:r>
            <w:r w:rsidR="00B733E7">
              <w:rPr>
                <w:rFonts w:asciiTheme="majorHAnsi" w:hAnsiTheme="majorHAnsi" w:cs="Arial"/>
                <w:iCs/>
                <w:sz w:val="22"/>
                <w:szCs w:val="22"/>
              </w:rPr>
              <w:t xml:space="preserve">. </w:t>
            </w:r>
            <w:r w:rsidRPr="00105256">
              <w:rPr>
                <w:rFonts w:asciiTheme="majorHAnsi" w:hAnsiTheme="majorHAnsi" w:cs="Arial"/>
                <w:iCs/>
                <w:sz w:val="22"/>
                <w:szCs w:val="22"/>
              </w:rPr>
              <w:t>766)</w:t>
            </w:r>
            <w:r w:rsidRPr="00105256">
              <w:rPr>
                <w:rFonts w:asciiTheme="majorHAnsi" w:hAnsiTheme="majorHAnsi" w:cs="Arial"/>
                <w:sz w:val="22"/>
                <w:szCs w:val="22"/>
              </w:rPr>
              <w:t>.</w:t>
            </w:r>
            <w:r w:rsidR="00313A93">
              <w:rPr>
                <w:rStyle w:val="FootnoteReference"/>
                <w:rFonts w:asciiTheme="majorHAnsi" w:hAnsiTheme="majorHAnsi" w:cs="Arial"/>
                <w:sz w:val="22"/>
                <w:szCs w:val="22"/>
              </w:rPr>
              <w:footnoteReference w:id="2"/>
            </w:r>
          </w:p>
        </w:tc>
      </w:tr>
      <w:tr w:rsidR="00880000" w:rsidRPr="00105256" w:rsidTr="008C0D8E">
        <w:tc>
          <w:tcPr>
            <w:tcW w:w="2235" w:type="dxa"/>
          </w:tcPr>
          <w:p w:rsidR="00880000" w:rsidRPr="00105256" w:rsidRDefault="00880000">
            <w:pPr>
              <w:rPr>
                <w:rFonts w:asciiTheme="majorHAnsi" w:hAnsiTheme="majorHAnsi" w:cs="Arial"/>
                <w:sz w:val="22"/>
                <w:szCs w:val="22"/>
              </w:rPr>
            </w:pPr>
            <w:r w:rsidRPr="00105256">
              <w:rPr>
                <w:rFonts w:asciiTheme="majorHAnsi" w:hAnsiTheme="majorHAnsi" w:cs="Arial"/>
                <w:sz w:val="22"/>
                <w:szCs w:val="22"/>
              </w:rPr>
              <w:t>Peer</w:t>
            </w:r>
          </w:p>
        </w:tc>
        <w:tc>
          <w:tcPr>
            <w:tcW w:w="11941" w:type="dxa"/>
          </w:tcPr>
          <w:p w:rsidR="00880000" w:rsidRPr="00105256" w:rsidRDefault="009606B7" w:rsidP="00EF65EA">
            <w:pPr>
              <w:rPr>
                <w:rFonts w:asciiTheme="majorHAnsi" w:hAnsiTheme="majorHAnsi" w:cs="Arial"/>
                <w:sz w:val="22"/>
                <w:szCs w:val="22"/>
              </w:rPr>
            </w:pPr>
            <w:r w:rsidRPr="00105256">
              <w:rPr>
                <w:rFonts w:asciiTheme="majorHAnsi" w:hAnsiTheme="majorHAnsi" w:cs="Arial"/>
                <w:sz w:val="22"/>
                <w:szCs w:val="22"/>
              </w:rPr>
              <w:t xml:space="preserve">A person </w:t>
            </w:r>
            <w:r w:rsidR="00EF65EA" w:rsidRPr="00105256">
              <w:rPr>
                <w:rFonts w:asciiTheme="majorHAnsi" w:hAnsiTheme="majorHAnsi" w:cs="Arial"/>
                <w:sz w:val="22"/>
                <w:szCs w:val="22"/>
              </w:rPr>
              <w:t xml:space="preserve">considered to be on a similar level </w:t>
            </w:r>
            <w:r w:rsidR="008C1C22" w:rsidRPr="00105256">
              <w:rPr>
                <w:rFonts w:asciiTheme="majorHAnsi" w:hAnsiTheme="majorHAnsi" w:cs="Arial"/>
                <w:sz w:val="22"/>
                <w:szCs w:val="22"/>
              </w:rPr>
              <w:t>or an industry partner with similar level of knowledge and expertise</w:t>
            </w:r>
          </w:p>
        </w:tc>
      </w:tr>
      <w:tr w:rsidR="00880000" w:rsidRPr="00105256" w:rsidTr="008C0D8E">
        <w:tc>
          <w:tcPr>
            <w:tcW w:w="2235" w:type="dxa"/>
          </w:tcPr>
          <w:p w:rsidR="00880000" w:rsidRPr="00105256" w:rsidRDefault="00880000" w:rsidP="00880000">
            <w:pPr>
              <w:rPr>
                <w:rFonts w:asciiTheme="majorHAnsi" w:hAnsiTheme="majorHAnsi" w:cs="Arial"/>
                <w:sz w:val="22"/>
                <w:szCs w:val="22"/>
              </w:rPr>
            </w:pPr>
            <w:r w:rsidRPr="00105256">
              <w:rPr>
                <w:rFonts w:asciiTheme="majorHAnsi" w:hAnsiTheme="majorHAnsi" w:cs="Arial"/>
                <w:sz w:val="22"/>
                <w:szCs w:val="22"/>
              </w:rPr>
              <w:t>Peer feedback</w:t>
            </w:r>
          </w:p>
          <w:p w:rsidR="00880000" w:rsidRPr="00105256" w:rsidRDefault="00880000">
            <w:pPr>
              <w:rPr>
                <w:rFonts w:asciiTheme="majorHAnsi" w:hAnsiTheme="majorHAnsi" w:cs="Arial"/>
                <w:sz w:val="22"/>
                <w:szCs w:val="22"/>
              </w:rPr>
            </w:pPr>
          </w:p>
        </w:tc>
        <w:tc>
          <w:tcPr>
            <w:tcW w:w="11941" w:type="dxa"/>
          </w:tcPr>
          <w:p w:rsidR="00880000" w:rsidRPr="00313A93" w:rsidRDefault="00EF65EA" w:rsidP="00313A93">
            <w:pPr>
              <w:autoSpaceDE w:val="0"/>
              <w:autoSpaceDN w:val="0"/>
              <w:adjustRightInd w:val="0"/>
              <w:rPr>
                <w:rFonts w:asciiTheme="majorHAnsi" w:hAnsiTheme="majorHAnsi" w:cs="Arial"/>
                <w:sz w:val="22"/>
                <w:szCs w:val="22"/>
              </w:rPr>
            </w:pPr>
            <w:r w:rsidRPr="00105256">
              <w:rPr>
                <w:rFonts w:asciiTheme="majorHAnsi" w:hAnsiTheme="majorHAnsi" w:cs="Arial"/>
                <w:sz w:val="22"/>
                <w:szCs w:val="22"/>
              </w:rPr>
              <w:t xml:space="preserve">A voluntary formative and confidential process negotiated between peers for the purpose of generating critical reflection on educational practice to improve student learning an develop staff capacity. </w:t>
            </w:r>
            <w:r w:rsidR="009606B7" w:rsidRPr="00105256">
              <w:rPr>
                <w:rFonts w:asciiTheme="majorHAnsi" w:hAnsiTheme="majorHAnsi" w:cs="Arial"/>
                <w:sz w:val="22"/>
                <w:szCs w:val="22"/>
              </w:rPr>
              <w:t xml:space="preserve">The voluntary formative process of </w:t>
            </w:r>
            <w:r w:rsidR="009606B7" w:rsidRPr="00105256">
              <w:rPr>
                <w:rFonts w:asciiTheme="majorHAnsi" w:hAnsiTheme="majorHAnsi" w:cs="Arial"/>
                <w:i/>
                <w:sz w:val="22"/>
                <w:szCs w:val="22"/>
              </w:rPr>
              <w:t>peer feedback</w:t>
            </w:r>
            <w:r w:rsidR="009606B7" w:rsidRPr="00105256">
              <w:rPr>
                <w:rFonts w:asciiTheme="majorHAnsi" w:hAnsiTheme="majorHAnsi" w:cs="Arial"/>
                <w:sz w:val="22"/>
                <w:szCs w:val="22"/>
              </w:rPr>
              <w:t xml:space="preserve"> negotiated between peers for the purpose of generating critical reflection on teaching practice and exploration of innovation. </w:t>
            </w:r>
          </w:p>
        </w:tc>
      </w:tr>
      <w:tr w:rsidR="00880000" w:rsidRPr="00105256" w:rsidTr="008C0D8E">
        <w:tc>
          <w:tcPr>
            <w:tcW w:w="2235" w:type="dxa"/>
          </w:tcPr>
          <w:p w:rsidR="00880000" w:rsidRPr="00105256" w:rsidRDefault="00880000">
            <w:pPr>
              <w:rPr>
                <w:rFonts w:asciiTheme="majorHAnsi" w:hAnsiTheme="majorHAnsi" w:cs="Arial"/>
                <w:sz w:val="22"/>
                <w:szCs w:val="22"/>
              </w:rPr>
            </w:pPr>
            <w:r w:rsidRPr="00105256">
              <w:rPr>
                <w:rFonts w:asciiTheme="majorHAnsi" w:hAnsiTheme="majorHAnsi" w:cs="Arial"/>
                <w:sz w:val="22"/>
                <w:szCs w:val="22"/>
              </w:rPr>
              <w:t>Content expert</w:t>
            </w:r>
          </w:p>
        </w:tc>
        <w:tc>
          <w:tcPr>
            <w:tcW w:w="11941" w:type="dxa"/>
          </w:tcPr>
          <w:p w:rsidR="00880000" w:rsidRPr="00105256" w:rsidRDefault="008C1C22" w:rsidP="00EF65EA">
            <w:pPr>
              <w:rPr>
                <w:rFonts w:asciiTheme="majorHAnsi" w:hAnsiTheme="majorHAnsi" w:cs="Arial"/>
                <w:sz w:val="22"/>
                <w:szCs w:val="22"/>
              </w:rPr>
            </w:pPr>
            <w:r w:rsidRPr="00105256">
              <w:rPr>
                <w:rFonts w:asciiTheme="majorHAnsi" w:hAnsiTheme="majorHAnsi" w:cs="Arial"/>
                <w:sz w:val="22"/>
                <w:szCs w:val="22"/>
              </w:rPr>
              <w:t xml:space="preserve">A person with knowledge and skills </w:t>
            </w:r>
            <w:r w:rsidR="00EF65EA" w:rsidRPr="00105256">
              <w:rPr>
                <w:rFonts w:asciiTheme="majorHAnsi" w:hAnsiTheme="majorHAnsi" w:cs="Arial"/>
                <w:sz w:val="22"/>
                <w:szCs w:val="22"/>
              </w:rPr>
              <w:t>in a discipline or cognate discipline area.</w:t>
            </w:r>
          </w:p>
        </w:tc>
      </w:tr>
      <w:tr w:rsidR="00880000" w:rsidRPr="00105256" w:rsidTr="008C0D8E">
        <w:tc>
          <w:tcPr>
            <w:tcW w:w="2235" w:type="dxa"/>
          </w:tcPr>
          <w:p w:rsidR="00880000" w:rsidRPr="00105256" w:rsidRDefault="00880000">
            <w:pPr>
              <w:rPr>
                <w:rFonts w:asciiTheme="majorHAnsi" w:hAnsiTheme="majorHAnsi" w:cs="Arial"/>
                <w:sz w:val="22"/>
                <w:szCs w:val="22"/>
              </w:rPr>
            </w:pPr>
            <w:r w:rsidRPr="00105256">
              <w:rPr>
                <w:rFonts w:asciiTheme="majorHAnsi" w:hAnsiTheme="majorHAnsi" w:cs="Arial"/>
                <w:sz w:val="22"/>
                <w:szCs w:val="22"/>
              </w:rPr>
              <w:t>Pedagogical expert</w:t>
            </w:r>
            <w:bookmarkStart w:id="0" w:name="_GoBack"/>
            <w:bookmarkEnd w:id="0"/>
          </w:p>
        </w:tc>
        <w:tc>
          <w:tcPr>
            <w:tcW w:w="11941" w:type="dxa"/>
          </w:tcPr>
          <w:p w:rsidR="00880000" w:rsidRPr="00105256" w:rsidRDefault="008C1C22" w:rsidP="00EF65EA">
            <w:pPr>
              <w:rPr>
                <w:rFonts w:asciiTheme="majorHAnsi" w:hAnsiTheme="majorHAnsi" w:cs="Arial"/>
                <w:sz w:val="22"/>
                <w:szCs w:val="22"/>
              </w:rPr>
            </w:pPr>
            <w:r w:rsidRPr="00105256">
              <w:rPr>
                <w:rFonts w:asciiTheme="majorHAnsi" w:hAnsiTheme="majorHAnsi" w:cs="Arial"/>
                <w:sz w:val="22"/>
                <w:szCs w:val="22"/>
              </w:rPr>
              <w:t xml:space="preserve">A person with expertise in </w:t>
            </w:r>
            <w:r w:rsidR="00EF65EA" w:rsidRPr="00105256">
              <w:rPr>
                <w:rFonts w:asciiTheme="majorHAnsi" w:hAnsiTheme="majorHAnsi" w:cs="Arial"/>
                <w:sz w:val="22"/>
                <w:szCs w:val="22"/>
              </w:rPr>
              <w:t>higher education pedagogy</w:t>
            </w:r>
          </w:p>
        </w:tc>
      </w:tr>
      <w:tr w:rsidR="00880000" w:rsidRPr="00105256" w:rsidTr="008C0D8E">
        <w:tc>
          <w:tcPr>
            <w:tcW w:w="2235" w:type="dxa"/>
          </w:tcPr>
          <w:p w:rsidR="00880000" w:rsidRPr="00105256" w:rsidRDefault="007217A6">
            <w:pPr>
              <w:rPr>
                <w:rFonts w:asciiTheme="majorHAnsi" w:hAnsiTheme="majorHAnsi" w:cs="Arial"/>
                <w:sz w:val="22"/>
                <w:szCs w:val="22"/>
              </w:rPr>
            </w:pPr>
            <w:r w:rsidRPr="00105256">
              <w:rPr>
                <w:rStyle w:val="Strong"/>
                <w:rFonts w:asciiTheme="majorHAnsi" w:hAnsiTheme="majorHAnsi" w:cs="Arial"/>
                <w:b w:val="0"/>
                <w:sz w:val="22"/>
                <w:szCs w:val="22"/>
                <w:lang w:val="en"/>
              </w:rPr>
              <w:t>Rubric</w:t>
            </w:r>
          </w:p>
        </w:tc>
        <w:tc>
          <w:tcPr>
            <w:tcW w:w="11941" w:type="dxa"/>
          </w:tcPr>
          <w:p w:rsidR="00880000" w:rsidRPr="00105256" w:rsidRDefault="007C2DD9">
            <w:pPr>
              <w:rPr>
                <w:rFonts w:asciiTheme="majorHAnsi" w:hAnsiTheme="majorHAnsi" w:cs="Arial"/>
                <w:sz w:val="22"/>
                <w:szCs w:val="22"/>
              </w:rPr>
            </w:pPr>
            <w:r w:rsidRPr="00105256">
              <w:rPr>
                <w:rFonts w:asciiTheme="majorHAnsi" w:hAnsiTheme="majorHAnsi" w:cs="Arial"/>
                <w:sz w:val="22"/>
                <w:szCs w:val="22"/>
                <w:lang w:val="en"/>
              </w:rPr>
              <w:t xml:space="preserve">A </w:t>
            </w:r>
            <w:r w:rsidR="007217A6" w:rsidRPr="00105256">
              <w:rPr>
                <w:rFonts w:asciiTheme="majorHAnsi" w:hAnsiTheme="majorHAnsi" w:cs="Arial"/>
                <w:sz w:val="22"/>
                <w:szCs w:val="22"/>
                <w:lang w:val="en"/>
              </w:rPr>
              <w:t>grading matrix/table detailing the assessment criteria for an assessment exercise and the required performance standards against each criterion to achieve a particular grade.</w:t>
            </w:r>
          </w:p>
        </w:tc>
      </w:tr>
    </w:tbl>
    <w:p w:rsidR="005051CA" w:rsidRPr="00105256" w:rsidRDefault="005051CA" w:rsidP="00D15515">
      <w:pPr>
        <w:rPr>
          <w:rFonts w:asciiTheme="majorHAnsi" w:hAnsiTheme="majorHAnsi" w:cs="Arial"/>
          <w:sz w:val="22"/>
          <w:szCs w:val="22"/>
        </w:rPr>
      </w:pPr>
    </w:p>
    <w:sectPr w:rsidR="005051CA" w:rsidRPr="00105256" w:rsidSect="007217A6">
      <w:headerReference w:type="even" r:id="rId8"/>
      <w:headerReference w:type="default" r:id="rId9"/>
      <w:footerReference w:type="even" r:id="rId10"/>
      <w:footerReference w:type="default" r:id="rId11"/>
      <w:headerReference w:type="first" r:id="rId12"/>
      <w:footerReference w:type="first" r:id="rId13"/>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DED" w:rsidRDefault="00CB6DED" w:rsidP="009606B7">
      <w:r>
        <w:separator/>
      </w:r>
    </w:p>
  </w:endnote>
  <w:endnote w:type="continuationSeparator" w:id="0">
    <w:p w:rsidR="00CB6DED" w:rsidRDefault="00CB6DED" w:rsidP="0096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dvTTec369687">
    <w:panose1 w:val="00000000000000000000"/>
    <w:charset w:val="00"/>
    <w:family w:val="roman"/>
    <w:notTrueType/>
    <w:pitch w:val="default"/>
    <w:sig w:usb0="00000003" w:usb1="00000000" w:usb2="00000000" w:usb3="00000000" w:csb0="00000001" w:csb1="00000000"/>
  </w:font>
  <w:font w:name="AdvTTec369687+20">
    <w:panose1 w:val="00000000000000000000"/>
    <w:charset w:val="00"/>
    <w:family w:val="swiss"/>
    <w:notTrueType/>
    <w:pitch w:val="default"/>
    <w:sig w:usb0="00000003" w:usb1="00000000" w:usb2="00000000" w:usb3="00000000" w:csb0="00000001" w:csb1="00000000"/>
  </w:font>
  <w:font w:name="AdvTTec369687+fb">
    <w:panose1 w:val="00000000000000000000"/>
    <w:charset w:val="00"/>
    <w:family w:val="auto"/>
    <w:notTrueType/>
    <w:pitch w:val="default"/>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E97" w:rsidRDefault="00397E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E97" w:rsidRDefault="00397E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E97" w:rsidRDefault="00397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DED" w:rsidRDefault="00CB6DED" w:rsidP="009606B7">
      <w:r>
        <w:separator/>
      </w:r>
    </w:p>
  </w:footnote>
  <w:footnote w:type="continuationSeparator" w:id="0">
    <w:p w:rsidR="00CB6DED" w:rsidRDefault="00CB6DED" w:rsidP="009606B7">
      <w:r>
        <w:continuationSeparator/>
      </w:r>
    </w:p>
  </w:footnote>
  <w:footnote w:id="1">
    <w:p w:rsidR="000857ED" w:rsidRPr="000857ED" w:rsidRDefault="000857ED" w:rsidP="000857ED">
      <w:pPr>
        <w:autoSpaceDE w:val="0"/>
        <w:autoSpaceDN w:val="0"/>
        <w:adjustRightInd w:val="0"/>
        <w:rPr>
          <w:rFonts w:asciiTheme="majorHAnsi" w:hAnsiTheme="majorHAnsi" w:cs="OpenSans"/>
          <w:sz w:val="22"/>
          <w:szCs w:val="22"/>
        </w:rPr>
      </w:pPr>
      <w:r>
        <w:rPr>
          <w:rStyle w:val="FootnoteReference"/>
        </w:rPr>
        <w:footnoteRef/>
      </w:r>
      <w:r>
        <w:t xml:space="preserve"> </w:t>
      </w:r>
      <w:r w:rsidRPr="000857ED">
        <w:rPr>
          <w:rFonts w:asciiTheme="majorHAnsi" w:hAnsiTheme="majorHAnsi" w:cs="OpenSans"/>
          <w:sz w:val="18"/>
          <w:szCs w:val="18"/>
        </w:rPr>
        <w:t>Sadler. D. R.  (2013)</w:t>
      </w:r>
      <w:r>
        <w:rPr>
          <w:rFonts w:asciiTheme="majorHAnsi" w:hAnsiTheme="majorHAnsi" w:cs="OpenSans"/>
          <w:sz w:val="18"/>
          <w:szCs w:val="18"/>
        </w:rPr>
        <w:t>.</w:t>
      </w:r>
      <w:r w:rsidRPr="000857ED">
        <w:rPr>
          <w:rFonts w:asciiTheme="majorHAnsi" w:hAnsiTheme="majorHAnsi" w:cs="OpenSans"/>
          <w:sz w:val="18"/>
          <w:szCs w:val="18"/>
        </w:rPr>
        <w:t xml:space="preserve"> </w:t>
      </w:r>
      <w:proofErr w:type="gramStart"/>
      <w:r w:rsidRPr="000857ED">
        <w:rPr>
          <w:rFonts w:asciiTheme="majorHAnsi" w:hAnsiTheme="majorHAnsi" w:cs="OpenSans"/>
          <w:sz w:val="18"/>
          <w:szCs w:val="18"/>
        </w:rPr>
        <w:t>Assuring</w:t>
      </w:r>
      <w:proofErr w:type="gramEnd"/>
      <w:r w:rsidRPr="000857ED">
        <w:rPr>
          <w:rFonts w:asciiTheme="majorHAnsi" w:hAnsiTheme="majorHAnsi" w:cs="OpenSans"/>
          <w:sz w:val="18"/>
          <w:szCs w:val="18"/>
        </w:rPr>
        <w:t xml:space="preserve"> academic achievement standards: from </w:t>
      </w:r>
      <w:r>
        <w:rPr>
          <w:rFonts w:asciiTheme="majorHAnsi" w:hAnsiTheme="majorHAnsi" w:cs="OpenSans"/>
          <w:sz w:val="18"/>
          <w:szCs w:val="18"/>
        </w:rPr>
        <w:t>moderation to calibration.</w:t>
      </w:r>
      <w:r w:rsidRPr="000857ED">
        <w:rPr>
          <w:rFonts w:asciiTheme="majorHAnsi" w:hAnsiTheme="majorHAnsi" w:cs="OpenSans"/>
          <w:sz w:val="18"/>
          <w:szCs w:val="18"/>
        </w:rPr>
        <w:t xml:space="preserve"> </w:t>
      </w:r>
      <w:r w:rsidRPr="000857ED">
        <w:rPr>
          <w:rFonts w:asciiTheme="majorHAnsi" w:hAnsiTheme="majorHAnsi" w:cs="OpenSans"/>
          <w:i/>
          <w:sz w:val="18"/>
          <w:szCs w:val="18"/>
        </w:rPr>
        <w:t>Assessment in Education: Principles, Policy &amp; Practice, 20</w:t>
      </w:r>
      <w:r>
        <w:rPr>
          <w:rFonts w:asciiTheme="majorHAnsi" w:hAnsiTheme="majorHAnsi" w:cs="OpenSans"/>
          <w:sz w:val="18"/>
          <w:szCs w:val="18"/>
        </w:rPr>
        <w:t>(</w:t>
      </w:r>
      <w:r w:rsidRPr="000857ED">
        <w:rPr>
          <w:rFonts w:asciiTheme="majorHAnsi" w:hAnsiTheme="majorHAnsi" w:cs="OpenSans"/>
          <w:sz w:val="18"/>
          <w:szCs w:val="18"/>
        </w:rPr>
        <w:t>1</w:t>
      </w:r>
      <w:r>
        <w:rPr>
          <w:rFonts w:asciiTheme="majorHAnsi" w:hAnsiTheme="majorHAnsi" w:cs="OpenSans"/>
          <w:sz w:val="18"/>
          <w:szCs w:val="18"/>
        </w:rPr>
        <w:t>)</w:t>
      </w:r>
      <w:r w:rsidRPr="000857ED">
        <w:rPr>
          <w:rFonts w:asciiTheme="majorHAnsi" w:hAnsiTheme="majorHAnsi" w:cs="OpenSans"/>
          <w:sz w:val="18"/>
          <w:szCs w:val="18"/>
        </w:rPr>
        <w:t>, 5-19,</w:t>
      </w:r>
      <w:r w:rsidRPr="000857ED">
        <w:rPr>
          <w:rFonts w:asciiTheme="majorHAnsi" w:hAnsiTheme="majorHAnsi" w:cs="OpenSans"/>
          <w:sz w:val="18"/>
          <w:szCs w:val="18"/>
        </w:rPr>
        <w:t xml:space="preserve"> </w:t>
      </w:r>
      <w:r w:rsidRPr="000857ED">
        <w:rPr>
          <w:rFonts w:asciiTheme="majorHAnsi" w:hAnsiTheme="majorHAnsi" w:cs="OpenSans"/>
          <w:sz w:val="18"/>
          <w:szCs w:val="18"/>
        </w:rPr>
        <w:t>DOI: 10.1080/0969594X.2012.714742</w:t>
      </w:r>
    </w:p>
    <w:p w:rsidR="000857ED" w:rsidRDefault="000857ED">
      <w:pPr>
        <w:pStyle w:val="FootnoteText"/>
      </w:pPr>
    </w:p>
  </w:footnote>
  <w:footnote w:id="2">
    <w:p w:rsidR="00313A93" w:rsidRDefault="00313A93">
      <w:pPr>
        <w:pStyle w:val="FootnoteText"/>
      </w:pPr>
      <w:r>
        <w:rPr>
          <w:rStyle w:val="FootnoteReference"/>
        </w:rPr>
        <w:footnoteRef/>
      </w:r>
      <w:r>
        <w:t xml:space="preserve"> </w:t>
      </w:r>
      <w:r w:rsidRPr="00313A93">
        <w:rPr>
          <w:rFonts w:asciiTheme="majorHAnsi" w:hAnsiTheme="majorHAnsi" w:cs="OpenSans"/>
          <w:sz w:val="18"/>
          <w:szCs w:val="18"/>
        </w:rPr>
        <w:t xml:space="preserve">This conference paper was originally published as Philip, R, </w:t>
      </w:r>
      <w:proofErr w:type="spellStart"/>
      <w:r w:rsidRPr="00313A93">
        <w:rPr>
          <w:rFonts w:asciiTheme="majorHAnsi" w:hAnsiTheme="majorHAnsi" w:cs="OpenSans"/>
          <w:sz w:val="18"/>
          <w:szCs w:val="18"/>
        </w:rPr>
        <w:t>Lef</w:t>
      </w:r>
      <w:r>
        <w:rPr>
          <w:rFonts w:asciiTheme="majorHAnsi" w:hAnsiTheme="majorHAnsi" w:cs="OpenSans"/>
          <w:sz w:val="18"/>
          <w:szCs w:val="18"/>
        </w:rPr>
        <w:t>oe</w:t>
      </w:r>
      <w:proofErr w:type="spellEnd"/>
      <w:r>
        <w:rPr>
          <w:rFonts w:asciiTheme="majorHAnsi" w:hAnsiTheme="majorHAnsi" w:cs="OpenSans"/>
          <w:sz w:val="18"/>
          <w:szCs w:val="18"/>
        </w:rPr>
        <w:t xml:space="preserve">, G, O'Reilly, M &amp; Parrish, </w:t>
      </w:r>
      <w:proofErr w:type="gramStart"/>
      <w:r>
        <w:rPr>
          <w:rFonts w:asciiTheme="majorHAnsi" w:hAnsiTheme="majorHAnsi" w:cs="OpenSans"/>
          <w:sz w:val="18"/>
          <w:szCs w:val="18"/>
        </w:rPr>
        <w:t>D</w:t>
      </w:r>
      <w:proofErr w:type="gramEnd"/>
      <w:r>
        <w:rPr>
          <w:rFonts w:asciiTheme="majorHAnsi" w:hAnsiTheme="majorHAnsi" w:cs="OpenSans"/>
          <w:sz w:val="18"/>
          <w:szCs w:val="18"/>
        </w:rPr>
        <w:t>.</w:t>
      </w:r>
      <w:r w:rsidRPr="00313A93">
        <w:rPr>
          <w:rFonts w:asciiTheme="majorHAnsi" w:hAnsiTheme="majorHAnsi" w:cs="OpenSans"/>
          <w:sz w:val="18"/>
          <w:szCs w:val="18"/>
        </w:rPr>
        <w:t xml:space="preserve"> A Peer Review Model for the ALTC Exchange: The Landscape of Shared Learning and Teaching Resources, Hello! Where are you in the landscape of educational technology? In R. Atkinson &amp; C. </w:t>
      </w:r>
      <w:proofErr w:type="spellStart"/>
      <w:r w:rsidRPr="00313A93">
        <w:rPr>
          <w:rFonts w:asciiTheme="majorHAnsi" w:hAnsiTheme="majorHAnsi" w:cs="OpenSans"/>
          <w:sz w:val="18"/>
          <w:szCs w:val="18"/>
        </w:rPr>
        <w:t>McBeath</w:t>
      </w:r>
      <w:proofErr w:type="spellEnd"/>
      <w:r w:rsidRPr="00313A93">
        <w:rPr>
          <w:rFonts w:asciiTheme="majorHAnsi" w:hAnsiTheme="majorHAnsi" w:cs="OpenSans"/>
          <w:sz w:val="18"/>
          <w:szCs w:val="18"/>
        </w:rPr>
        <w:t xml:space="preserve"> (Eds.), </w:t>
      </w:r>
      <w:r w:rsidRPr="00313A93">
        <w:rPr>
          <w:rFonts w:asciiTheme="majorHAnsi" w:hAnsiTheme="majorHAnsi" w:cs="OpenSans"/>
          <w:i/>
          <w:sz w:val="18"/>
          <w:szCs w:val="18"/>
        </w:rPr>
        <w:t>Annual Conference of the Australasian Society for Computers in Learning in Tertiary Education</w:t>
      </w:r>
      <w:r w:rsidRPr="00313A93">
        <w:rPr>
          <w:rFonts w:asciiTheme="majorHAnsi" w:hAnsiTheme="majorHAnsi" w:cs="OpenSans"/>
          <w:sz w:val="18"/>
          <w:szCs w:val="18"/>
        </w:rPr>
        <w:t xml:space="preserve"> (pp. 766-775). Melbourne, Australia: Deakin University. </w:t>
      </w:r>
      <w:proofErr w:type="spellStart"/>
      <w:proofErr w:type="gramStart"/>
      <w:r w:rsidRPr="00313A93">
        <w:rPr>
          <w:rFonts w:asciiTheme="majorHAnsi" w:hAnsiTheme="majorHAnsi" w:cs="OpenSans"/>
          <w:sz w:val="18"/>
          <w:szCs w:val="18"/>
        </w:rPr>
        <w:t>ascilite</w:t>
      </w:r>
      <w:proofErr w:type="spellEnd"/>
      <w:proofErr w:type="gramEnd"/>
      <w:r w:rsidRPr="00313A93">
        <w:rPr>
          <w:rFonts w:asciiTheme="majorHAnsi" w:hAnsiTheme="majorHAnsi" w:cs="OpenSans"/>
          <w:sz w:val="18"/>
          <w:szCs w:val="18"/>
        </w:rPr>
        <w:t xml:space="preserve"> 200</w:t>
      </w:r>
      <w:r>
        <w:rPr>
          <w:rFonts w:asciiTheme="majorHAnsi" w:hAnsiTheme="majorHAnsi" w:cs="OpenSans"/>
          <w:sz w:val="18"/>
          <w:szCs w:val="18"/>
        </w:rPr>
        <w:t>8, 30 November-3 December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E97" w:rsidRDefault="00397E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685239"/>
      <w:docPartObj>
        <w:docPartGallery w:val="Watermarks"/>
        <w:docPartUnique/>
      </w:docPartObj>
    </w:sdtPr>
    <w:sdtEndPr/>
    <w:sdtContent>
      <w:p w:rsidR="00397E97" w:rsidRDefault="00313A93">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E97" w:rsidRDefault="00397E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540FC"/>
    <w:multiLevelType w:val="hybridMultilevel"/>
    <w:tmpl w:val="AEFA1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880295"/>
    <w:multiLevelType w:val="hybridMultilevel"/>
    <w:tmpl w:val="496E7B2A"/>
    <w:lvl w:ilvl="0" w:tplc="04090011">
      <w:start w:val="1"/>
      <w:numFmt w:val="decimal"/>
      <w:lvlText w:val="%1)"/>
      <w:lvlJc w:val="left"/>
      <w:pPr>
        <w:ind w:left="6314" w:hanging="360"/>
      </w:pPr>
      <w:rPr>
        <w:rFonts w:hint="default"/>
      </w:rPr>
    </w:lvl>
    <w:lvl w:ilvl="1" w:tplc="04090019" w:tentative="1">
      <w:start w:val="1"/>
      <w:numFmt w:val="lowerLetter"/>
      <w:lvlText w:val="%2."/>
      <w:lvlJc w:val="left"/>
      <w:pPr>
        <w:ind w:left="7034" w:hanging="360"/>
      </w:pPr>
    </w:lvl>
    <w:lvl w:ilvl="2" w:tplc="0409001B" w:tentative="1">
      <w:start w:val="1"/>
      <w:numFmt w:val="lowerRoman"/>
      <w:lvlText w:val="%3."/>
      <w:lvlJc w:val="right"/>
      <w:pPr>
        <w:ind w:left="7754" w:hanging="180"/>
      </w:pPr>
    </w:lvl>
    <w:lvl w:ilvl="3" w:tplc="0409000F" w:tentative="1">
      <w:start w:val="1"/>
      <w:numFmt w:val="decimal"/>
      <w:lvlText w:val="%4."/>
      <w:lvlJc w:val="left"/>
      <w:pPr>
        <w:ind w:left="8474" w:hanging="360"/>
      </w:pPr>
    </w:lvl>
    <w:lvl w:ilvl="4" w:tplc="04090019" w:tentative="1">
      <w:start w:val="1"/>
      <w:numFmt w:val="lowerLetter"/>
      <w:lvlText w:val="%5."/>
      <w:lvlJc w:val="left"/>
      <w:pPr>
        <w:ind w:left="9194" w:hanging="360"/>
      </w:pPr>
    </w:lvl>
    <w:lvl w:ilvl="5" w:tplc="0409001B" w:tentative="1">
      <w:start w:val="1"/>
      <w:numFmt w:val="lowerRoman"/>
      <w:lvlText w:val="%6."/>
      <w:lvlJc w:val="right"/>
      <w:pPr>
        <w:ind w:left="9914" w:hanging="180"/>
      </w:pPr>
    </w:lvl>
    <w:lvl w:ilvl="6" w:tplc="0409000F" w:tentative="1">
      <w:start w:val="1"/>
      <w:numFmt w:val="decimal"/>
      <w:lvlText w:val="%7."/>
      <w:lvlJc w:val="left"/>
      <w:pPr>
        <w:ind w:left="10634" w:hanging="360"/>
      </w:pPr>
    </w:lvl>
    <w:lvl w:ilvl="7" w:tplc="04090019" w:tentative="1">
      <w:start w:val="1"/>
      <w:numFmt w:val="lowerLetter"/>
      <w:lvlText w:val="%8."/>
      <w:lvlJc w:val="left"/>
      <w:pPr>
        <w:ind w:left="11354" w:hanging="360"/>
      </w:pPr>
    </w:lvl>
    <w:lvl w:ilvl="8" w:tplc="0409001B" w:tentative="1">
      <w:start w:val="1"/>
      <w:numFmt w:val="lowerRoman"/>
      <w:lvlText w:val="%9."/>
      <w:lvlJc w:val="right"/>
      <w:pPr>
        <w:ind w:left="12074" w:hanging="180"/>
      </w:pPr>
    </w:lvl>
  </w:abstractNum>
  <w:abstractNum w:abstractNumId="2" w15:restartNumberingAfterBreak="0">
    <w:nsid w:val="3CD56D2B"/>
    <w:multiLevelType w:val="hybridMultilevel"/>
    <w:tmpl w:val="B3D0B186"/>
    <w:lvl w:ilvl="0" w:tplc="4BBA7024">
      <w:start w:val="2"/>
      <w:numFmt w:val="bullet"/>
      <w:lvlText w:val="-"/>
      <w:lvlJc w:val="left"/>
      <w:pPr>
        <w:ind w:left="4003" w:hanging="360"/>
      </w:pPr>
      <w:rPr>
        <w:rFonts w:ascii="Verdana" w:eastAsiaTheme="minorHAnsi" w:hAnsi="Verdana" w:cs="Verdana" w:hint="default"/>
        <w:color w:val="auto"/>
        <w:sz w:val="28"/>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5A7B6C21"/>
    <w:multiLevelType w:val="hybridMultilevel"/>
    <w:tmpl w:val="DFB48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0B020C"/>
    <w:multiLevelType w:val="hybridMultilevel"/>
    <w:tmpl w:val="4D262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533AE8"/>
    <w:multiLevelType w:val="hybridMultilevel"/>
    <w:tmpl w:val="44026A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BB52D33"/>
    <w:multiLevelType w:val="hybridMultilevel"/>
    <w:tmpl w:val="811EC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CA"/>
    <w:rsid w:val="000857ED"/>
    <w:rsid w:val="00105256"/>
    <w:rsid w:val="002F00C6"/>
    <w:rsid w:val="00313A93"/>
    <w:rsid w:val="003328A4"/>
    <w:rsid w:val="00397E97"/>
    <w:rsid w:val="00406C44"/>
    <w:rsid w:val="004E532D"/>
    <w:rsid w:val="005051CA"/>
    <w:rsid w:val="005E3C16"/>
    <w:rsid w:val="006E5A81"/>
    <w:rsid w:val="007217A6"/>
    <w:rsid w:val="007C2DD9"/>
    <w:rsid w:val="00817F20"/>
    <w:rsid w:val="00880000"/>
    <w:rsid w:val="008B558D"/>
    <w:rsid w:val="008C0D8E"/>
    <w:rsid w:val="008C1C22"/>
    <w:rsid w:val="00921A05"/>
    <w:rsid w:val="0093628F"/>
    <w:rsid w:val="009606B7"/>
    <w:rsid w:val="00AD299D"/>
    <w:rsid w:val="00B1413D"/>
    <w:rsid w:val="00B55D1A"/>
    <w:rsid w:val="00B71965"/>
    <w:rsid w:val="00B733E7"/>
    <w:rsid w:val="00CB6DED"/>
    <w:rsid w:val="00D15515"/>
    <w:rsid w:val="00D7375B"/>
    <w:rsid w:val="00E04F6A"/>
    <w:rsid w:val="00E41F26"/>
    <w:rsid w:val="00E927AE"/>
    <w:rsid w:val="00EF65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15:docId w15:val="{A847D86B-47B2-41E4-ACDB-30617698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F6A"/>
    <w:pPr>
      <w:ind w:left="720"/>
      <w:contextualSpacing/>
    </w:pPr>
  </w:style>
  <w:style w:type="table" w:styleId="TableGrid">
    <w:name w:val="Table Grid"/>
    <w:basedOn w:val="TableNormal"/>
    <w:uiPriority w:val="59"/>
    <w:rsid w:val="00880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06B7"/>
    <w:rPr>
      <w:color w:val="0000FF" w:themeColor="hyperlink"/>
      <w:u w:val="single"/>
    </w:rPr>
  </w:style>
  <w:style w:type="character" w:styleId="FootnoteReference">
    <w:name w:val="footnote reference"/>
    <w:basedOn w:val="DefaultParagraphFont"/>
    <w:uiPriority w:val="99"/>
    <w:semiHidden/>
    <w:unhideWhenUsed/>
    <w:rsid w:val="009606B7"/>
    <w:rPr>
      <w:vertAlign w:val="superscript"/>
    </w:rPr>
  </w:style>
  <w:style w:type="character" w:styleId="Strong">
    <w:name w:val="Strong"/>
    <w:basedOn w:val="DefaultParagraphFont"/>
    <w:uiPriority w:val="22"/>
    <w:qFormat/>
    <w:rsid w:val="008C1C22"/>
    <w:rPr>
      <w:b/>
      <w:bCs/>
    </w:rPr>
  </w:style>
  <w:style w:type="paragraph" w:customStyle="1" w:styleId="Default">
    <w:name w:val="Default"/>
    <w:rsid w:val="007C2DD9"/>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8C0D8E"/>
    <w:pPr>
      <w:tabs>
        <w:tab w:val="center" w:pos="4513"/>
        <w:tab w:val="right" w:pos="9026"/>
      </w:tabs>
    </w:pPr>
  </w:style>
  <w:style w:type="character" w:customStyle="1" w:styleId="HeaderChar">
    <w:name w:val="Header Char"/>
    <w:basedOn w:val="DefaultParagraphFont"/>
    <w:link w:val="Header"/>
    <w:uiPriority w:val="99"/>
    <w:rsid w:val="008C0D8E"/>
  </w:style>
  <w:style w:type="paragraph" w:styleId="Footer">
    <w:name w:val="footer"/>
    <w:basedOn w:val="Normal"/>
    <w:link w:val="FooterChar"/>
    <w:uiPriority w:val="99"/>
    <w:unhideWhenUsed/>
    <w:rsid w:val="008C0D8E"/>
    <w:pPr>
      <w:tabs>
        <w:tab w:val="center" w:pos="4513"/>
        <w:tab w:val="right" w:pos="9026"/>
      </w:tabs>
    </w:pPr>
  </w:style>
  <w:style w:type="character" w:customStyle="1" w:styleId="FooterChar">
    <w:name w:val="Footer Char"/>
    <w:basedOn w:val="DefaultParagraphFont"/>
    <w:link w:val="Footer"/>
    <w:uiPriority w:val="99"/>
    <w:rsid w:val="008C0D8E"/>
  </w:style>
  <w:style w:type="paragraph" w:styleId="FootnoteText">
    <w:name w:val="footnote text"/>
    <w:basedOn w:val="Normal"/>
    <w:link w:val="FootnoteTextChar"/>
    <w:uiPriority w:val="99"/>
    <w:semiHidden/>
    <w:unhideWhenUsed/>
    <w:rsid w:val="008C0D8E"/>
    <w:rPr>
      <w:sz w:val="20"/>
      <w:szCs w:val="20"/>
    </w:rPr>
  </w:style>
  <w:style w:type="character" w:customStyle="1" w:styleId="FootnoteTextChar">
    <w:name w:val="Footnote Text Char"/>
    <w:basedOn w:val="DefaultParagraphFont"/>
    <w:link w:val="FootnoteText"/>
    <w:uiPriority w:val="99"/>
    <w:semiHidden/>
    <w:rsid w:val="008C0D8E"/>
    <w:rPr>
      <w:sz w:val="20"/>
      <w:szCs w:val="20"/>
    </w:rPr>
  </w:style>
  <w:style w:type="paragraph" w:styleId="BalloonText">
    <w:name w:val="Balloon Text"/>
    <w:basedOn w:val="Normal"/>
    <w:link w:val="BalloonTextChar"/>
    <w:uiPriority w:val="99"/>
    <w:semiHidden/>
    <w:unhideWhenUsed/>
    <w:rsid w:val="00397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A2D0B-BCDB-48EC-9B8B-20B8892D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Robertson</dc:creator>
  <cp:keywords/>
  <dc:description/>
  <cp:lastModifiedBy>Kathie Ardzejewska</cp:lastModifiedBy>
  <cp:revision>3</cp:revision>
  <dcterms:created xsi:type="dcterms:W3CDTF">2016-10-27T06:13:00Z</dcterms:created>
  <dcterms:modified xsi:type="dcterms:W3CDTF">2016-10-27T06:27:00Z</dcterms:modified>
</cp:coreProperties>
</file>