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AFF4" w14:textId="31E96158" w:rsidR="005D4ABF" w:rsidRPr="00EE20CF" w:rsidRDefault="005D4ABF" w:rsidP="00EE20CF">
      <w:pPr>
        <w:pStyle w:val="Heading1"/>
        <w:spacing w:before="0"/>
        <w:rPr>
          <w:b/>
          <w:bCs/>
          <w:lang w:val="en-AU"/>
        </w:rPr>
      </w:pPr>
      <w:r w:rsidRPr="00EE20CF">
        <w:rPr>
          <w:b/>
          <w:bCs/>
          <w:lang w:val="en-AU"/>
        </w:rPr>
        <w:t xml:space="preserve">Peer </w:t>
      </w:r>
      <w:bookmarkStart w:id="0" w:name="_Hlk130204691"/>
      <w:r w:rsidRPr="00EE20CF">
        <w:rPr>
          <w:b/>
          <w:bCs/>
          <w:lang w:val="en-AU"/>
        </w:rPr>
        <w:t xml:space="preserve">Review </w:t>
      </w:r>
      <w:bookmarkEnd w:id="0"/>
      <w:r w:rsidRPr="00EE20CF">
        <w:rPr>
          <w:b/>
          <w:bCs/>
          <w:lang w:val="en-AU"/>
        </w:rPr>
        <w:t>of Examination T</w:t>
      </w:r>
      <w:r w:rsidR="00904170" w:rsidRPr="00EE20CF">
        <w:rPr>
          <w:b/>
          <w:bCs/>
          <w:lang w:val="en-AU"/>
        </w:rPr>
        <w:t>emplate</w:t>
      </w:r>
    </w:p>
    <w:p w14:paraId="50BD3F46" w14:textId="3E6B256D" w:rsidR="005D4ABF" w:rsidRDefault="005D4ABF" w:rsidP="00EE20CF">
      <w:pPr>
        <w:spacing w:before="160"/>
        <w:rPr>
          <w:b/>
          <w:bCs/>
          <w:lang w:val="en-AU"/>
        </w:rPr>
      </w:pPr>
      <w:r>
        <w:rPr>
          <w:b/>
          <w:bCs/>
          <w:lang w:val="en-AU"/>
        </w:rPr>
        <w:t>Course</w:t>
      </w:r>
      <w:r w:rsidR="00C42230">
        <w:rPr>
          <w:b/>
          <w:bCs/>
          <w:lang w:val="en-AU"/>
        </w:rPr>
        <w:t>:</w:t>
      </w:r>
      <w:r w:rsidR="00C42230">
        <w:rPr>
          <w:b/>
          <w:bCs/>
          <w:lang w:val="en-AU"/>
        </w:rPr>
        <w:tab/>
      </w:r>
      <w:r>
        <w:rPr>
          <w:b/>
          <w:bCs/>
          <w:lang w:val="en-AU"/>
        </w:rPr>
        <w:t>Semester:</w:t>
      </w:r>
      <w:r w:rsidR="00C42230">
        <w:rPr>
          <w:b/>
          <w:bCs/>
          <w:lang w:val="en-AU"/>
        </w:rPr>
        <w:tab/>
      </w:r>
      <w:r>
        <w:rPr>
          <w:b/>
          <w:bCs/>
          <w:lang w:val="en-AU"/>
        </w:rPr>
        <w:t xml:space="preserve">Weighting of the examination: </w:t>
      </w:r>
      <w:r w:rsidR="00C42230">
        <w:rPr>
          <w:b/>
          <w:bCs/>
          <w:lang w:val="en-AU"/>
        </w:rPr>
        <w:tab/>
        <w:t>Time of Examination:</w:t>
      </w:r>
    </w:p>
    <w:p w14:paraId="78A0E02F" w14:textId="6881F0DF" w:rsidR="00531CB5" w:rsidRDefault="00531CB5" w:rsidP="00EE20CF">
      <w:pPr>
        <w:spacing w:before="160" w:after="120"/>
        <w:rPr>
          <w:lang w:val="en-AU"/>
        </w:rPr>
      </w:pPr>
      <w:r>
        <w:rPr>
          <w:b/>
          <w:bCs/>
          <w:lang w:val="en-AU"/>
        </w:rPr>
        <w:t>Name of Peer Reviewer:</w:t>
      </w:r>
    </w:p>
    <w:p w14:paraId="57B11538" w14:textId="260C56F4" w:rsidR="00211E4B" w:rsidRPr="00EF19BF" w:rsidRDefault="004117FC" w:rsidP="00EE20CF">
      <w:pPr>
        <w:spacing w:before="120"/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>General: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C646FA" w:rsidRPr="00211E4B" w14:paraId="27A5EE3F" w14:textId="77777777" w:rsidTr="00EE20CF">
        <w:tc>
          <w:tcPr>
            <w:tcW w:w="6799" w:type="dxa"/>
          </w:tcPr>
          <w:p w14:paraId="350C31CD" w14:textId="72F09EDF" w:rsidR="00C646FA" w:rsidRPr="00C42230" w:rsidRDefault="0000744E" w:rsidP="006321AD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Indicator</w:t>
            </w:r>
          </w:p>
        </w:tc>
        <w:tc>
          <w:tcPr>
            <w:tcW w:w="3686" w:type="dxa"/>
          </w:tcPr>
          <w:p w14:paraId="2FDF6156" w14:textId="2A030FEB" w:rsidR="00C646FA" w:rsidRPr="00C42230" w:rsidRDefault="0000744E" w:rsidP="006321AD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Comments</w:t>
            </w:r>
          </w:p>
        </w:tc>
      </w:tr>
      <w:tr w:rsidR="00211E4B" w:rsidRPr="00211E4B" w14:paraId="6BAD3DB0" w14:textId="77777777" w:rsidTr="00EE20CF">
        <w:tc>
          <w:tcPr>
            <w:tcW w:w="6799" w:type="dxa"/>
          </w:tcPr>
          <w:p w14:paraId="6CAE54EF" w14:textId="633DEE87" w:rsidR="00211E4B" w:rsidRPr="00211E4B" w:rsidRDefault="00F42244" w:rsidP="006321AD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211E4B" w:rsidRPr="00211E4B">
              <w:rPr>
                <w:lang w:val="en-AU"/>
              </w:rPr>
              <w:t>he examination enables the student to demonstrate the learning outcomes outlined in the assessment table of the course outline</w:t>
            </w:r>
          </w:p>
        </w:tc>
        <w:tc>
          <w:tcPr>
            <w:tcW w:w="3686" w:type="dxa"/>
          </w:tcPr>
          <w:p w14:paraId="76FD3A29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  <w:tr w:rsidR="00211E4B" w:rsidRPr="00211E4B" w14:paraId="69BAB2C4" w14:textId="77777777" w:rsidTr="00EE20CF">
        <w:tc>
          <w:tcPr>
            <w:tcW w:w="6799" w:type="dxa"/>
          </w:tcPr>
          <w:p w14:paraId="70248072" w14:textId="77777777" w:rsidR="00211E4B" w:rsidRPr="00211E4B" w:rsidRDefault="00211E4B" w:rsidP="006321AD">
            <w:pPr>
              <w:rPr>
                <w:lang w:val="en-AU"/>
              </w:rPr>
            </w:pPr>
            <w:r w:rsidRPr="00211E4B">
              <w:rPr>
                <w:lang w:val="en-AU"/>
              </w:rPr>
              <w:t>Amount of time and effort students should spend on each section is indicated</w:t>
            </w:r>
          </w:p>
        </w:tc>
        <w:tc>
          <w:tcPr>
            <w:tcW w:w="3686" w:type="dxa"/>
          </w:tcPr>
          <w:p w14:paraId="43608AD4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  <w:tr w:rsidR="00211E4B" w:rsidRPr="00211E4B" w14:paraId="19F431C3" w14:textId="77777777" w:rsidTr="00EE20CF">
        <w:tc>
          <w:tcPr>
            <w:tcW w:w="6799" w:type="dxa"/>
          </w:tcPr>
          <w:p w14:paraId="3A68FB8B" w14:textId="48D18C40" w:rsidR="00211E4B" w:rsidRPr="00211E4B" w:rsidRDefault="00211E4B" w:rsidP="006321AD">
            <w:pPr>
              <w:rPr>
                <w:lang w:val="en-AU"/>
              </w:rPr>
            </w:pPr>
            <w:r w:rsidRPr="00211E4B">
              <w:rPr>
                <w:lang w:val="en-AU"/>
              </w:rPr>
              <w:t xml:space="preserve">Questions or sections are mapped to learning outcomes </w:t>
            </w:r>
            <w:r w:rsidR="009F464B">
              <w:rPr>
                <w:lang w:val="en-AU"/>
              </w:rPr>
              <w:t>(doesn’t have to be on exam paper)</w:t>
            </w:r>
          </w:p>
        </w:tc>
        <w:tc>
          <w:tcPr>
            <w:tcW w:w="3686" w:type="dxa"/>
          </w:tcPr>
          <w:p w14:paraId="6886E460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  <w:tr w:rsidR="00211E4B" w:rsidRPr="00211E4B" w14:paraId="0E4BB099" w14:textId="77777777" w:rsidTr="00EE20CF">
        <w:tc>
          <w:tcPr>
            <w:tcW w:w="6799" w:type="dxa"/>
          </w:tcPr>
          <w:p w14:paraId="4825B51F" w14:textId="77777777" w:rsidR="00211E4B" w:rsidRPr="00211E4B" w:rsidRDefault="00211E4B" w:rsidP="006321AD">
            <w:pPr>
              <w:rPr>
                <w:lang w:val="en-AU"/>
              </w:rPr>
            </w:pPr>
            <w:r w:rsidRPr="00211E4B">
              <w:rPr>
                <w:lang w:val="en-AU"/>
              </w:rPr>
              <w:t>A marking guide exists</w:t>
            </w:r>
          </w:p>
        </w:tc>
        <w:tc>
          <w:tcPr>
            <w:tcW w:w="3686" w:type="dxa"/>
          </w:tcPr>
          <w:p w14:paraId="69A23156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  <w:tr w:rsidR="00211E4B" w:rsidRPr="00211E4B" w14:paraId="0C0F5E3C" w14:textId="77777777" w:rsidTr="00EE20CF">
        <w:tc>
          <w:tcPr>
            <w:tcW w:w="6799" w:type="dxa"/>
          </w:tcPr>
          <w:p w14:paraId="08C296D5" w14:textId="59F4A7E1" w:rsidR="00211E4B" w:rsidRPr="00211E4B" w:rsidRDefault="00211E4B" w:rsidP="006321AD">
            <w:pPr>
              <w:rPr>
                <w:lang w:val="en-AU"/>
              </w:rPr>
            </w:pPr>
            <w:r w:rsidRPr="00211E4B">
              <w:rPr>
                <w:lang w:val="en-AU"/>
              </w:rPr>
              <w:t>Any data students will need to answer questions is provided, UNLESS recall of such data is a required professional attribute</w:t>
            </w:r>
          </w:p>
        </w:tc>
        <w:tc>
          <w:tcPr>
            <w:tcW w:w="3686" w:type="dxa"/>
          </w:tcPr>
          <w:p w14:paraId="2C21142A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  <w:tr w:rsidR="00211E4B" w:rsidRPr="00211E4B" w14:paraId="09F763B1" w14:textId="77777777" w:rsidTr="00EE20CF">
        <w:tc>
          <w:tcPr>
            <w:tcW w:w="6799" w:type="dxa"/>
          </w:tcPr>
          <w:p w14:paraId="449EE882" w14:textId="77777777" w:rsidR="00211E4B" w:rsidRPr="00211E4B" w:rsidRDefault="00211E4B" w:rsidP="006321AD">
            <w:pPr>
              <w:rPr>
                <w:lang w:val="en-AU"/>
              </w:rPr>
            </w:pPr>
            <w:r w:rsidRPr="00211E4B">
              <w:rPr>
                <w:lang w:val="en-AU"/>
              </w:rPr>
              <w:t>Ample time is given</w:t>
            </w:r>
          </w:p>
        </w:tc>
        <w:tc>
          <w:tcPr>
            <w:tcW w:w="3686" w:type="dxa"/>
          </w:tcPr>
          <w:p w14:paraId="1F4A8C5C" w14:textId="77777777" w:rsidR="00211E4B" w:rsidRPr="00211E4B" w:rsidRDefault="00211E4B" w:rsidP="006321AD">
            <w:pPr>
              <w:rPr>
                <w:lang w:val="en-AU"/>
              </w:rPr>
            </w:pPr>
          </w:p>
        </w:tc>
      </w:tr>
    </w:tbl>
    <w:p w14:paraId="3D660D3F" w14:textId="180A1166" w:rsidR="0035429C" w:rsidRPr="004A74DD" w:rsidRDefault="008E1D33" w:rsidP="00EE20CF">
      <w:pPr>
        <w:spacing w:before="120"/>
        <w:rPr>
          <w:b/>
          <w:bCs/>
          <w:i/>
          <w:iCs/>
          <w:lang w:val="en-AU"/>
        </w:rPr>
      </w:pPr>
      <w:r w:rsidRPr="004A74DD">
        <w:rPr>
          <w:b/>
          <w:bCs/>
          <w:i/>
          <w:iCs/>
          <w:lang w:val="en-AU"/>
        </w:rPr>
        <w:t>Questions: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00744E" w:rsidRPr="0000744E" w14:paraId="7D734615" w14:textId="77777777" w:rsidTr="00EE20CF">
        <w:tc>
          <w:tcPr>
            <w:tcW w:w="6799" w:type="dxa"/>
          </w:tcPr>
          <w:p w14:paraId="211405E7" w14:textId="6AE92695" w:rsidR="0000744E" w:rsidRPr="00C42230" w:rsidRDefault="00425F71" w:rsidP="004B5524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Indicator</w:t>
            </w:r>
          </w:p>
        </w:tc>
        <w:tc>
          <w:tcPr>
            <w:tcW w:w="3686" w:type="dxa"/>
          </w:tcPr>
          <w:p w14:paraId="18332731" w14:textId="0279E4B2" w:rsidR="0000744E" w:rsidRPr="00C42230" w:rsidRDefault="00425F71" w:rsidP="004B5524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Comments</w:t>
            </w:r>
          </w:p>
        </w:tc>
      </w:tr>
      <w:tr w:rsidR="0000744E" w:rsidRPr="0000744E" w14:paraId="1C0C9082" w14:textId="77777777" w:rsidTr="00EE20CF">
        <w:tc>
          <w:tcPr>
            <w:tcW w:w="6799" w:type="dxa"/>
          </w:tcPr>
          <w:p w14:paraId="2F72E50F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There are a range of question types</w:t>
            </w:r>
          </w:p>
        </w:tc>
        <w:tc>
          <w:tcPr>
            <w:tcW w:w="3686" w:type="dxa"/>
          </w:tcPr>
          <w:p w14:paraId="65CA46D7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4BB80823" w14:textId="77777777" w:rsidTr="00EE20CF">
        <w:tc>
          <w:tcPr>
            <w:tcW w:w="6799" w:type="dxa"/>
          </w:tcPr>
          <w:p w14:paraId="29107C02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Marks allocated to each question are congruent with the question being asked</w:t>
            </w:r>
          </w:p>
        </w:tc>
        <w:tc>
          <w:tcPr>
            <w:tcW w:w="3686" w:type="dxa"/>
          </w:tcPr>
          <w:p w14:paraId="787215B7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9F464B" w:rsidRPr="0000744E" w14:paraId="10EA72E8" w14:textId="77777777" w:rsidTr="00EE20CF">
        <w:tc>
          <w:tcPr>
            <w:tcW w:w="10485" w:type="dxa"/>
            <w:gridSpan w:val="2"/>
          </w:tcPr>
          <w:p w14:paraId="6BAAC23C" w14:textId="249DB061" w:rsidR="009F464B" w:rsidRPr="0000744E" w:rsidRDefault="009F464B" w:rsidP="004B5524">
            <w:pPr>
              <w:rPr>
                <w:i/>
                <w:iCs/>
                <w:lang w:val="en-AU"/>
              </w:rPr>
            </w:pPr>
            <w:r w:rsidRPr="0000744E">
              <w:rPr>
                <w:i/>
                <w:iCs/>
                <w:lang w:val="en-AU"/>
              </w:rPr>
              <w:t>Multiple Choice</w:t>
            </w:r>
          </w:p>
        </w:tc>
      </w:tr>
      <w:tr w:rsidR="0000744E" w:rsidRPr="0000744E" w14:paraId="4E82AFB4" w14:textId="77777777" w:rsidTr="00EE20CF">
        <w:tc>
          <w:tcPr>
            <w:tcW w:w="6799" w:type="dxa"/>
          </w:tcPr>
          <w:p w14:paraId="0D46F28B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Stems are stated clearly</w:t>
            </w:r>
          </w:p>
        </w:tc>
        <w:tc>
          <w:tcPr>
            <w:tcW w:w="3686" w:type="dxa"/>
          </w:tcPr>
          <w:p w14:paraId="75D3842D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3162628A" w14:textId="77777777" w:rsidTr="00EE20CF">
        <w:tc>
          <w:tcPr>
            <w:tcW w:w="6799" w:type="dxa"/>
          </w:tcPr>
          <w:p w14:paraId="069B61E3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The problem is self-contained in the stem</w:t>
            </w:r>
          </w:p>
        </w:tc>
        <w:tc>
          <w:tcPr>
            <w:tcW w:w="3686" w:type="dxa"/>
          </w:tcPr>
          <w:p w14:paraId="1206FE9C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2A3BC50E" w14:textId="77777777" w:rsidTr="00EE20CF">
        <w:tc>
          <w:tcPr>
            <w:tcW w:w="6799" w:type="dxa"/>
          </w:tcPr>
          <w:p w14:paraId="266B26FE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Question stems contain no negatives if at all possible</w:t>
            </w:r>
          </w:p>
        </w:tc>
        <w:tc>
          <w:tcPr>
            <w:tcW w:w="3686" w:type="dxa"/>
          </w:tcPr>
          <w:p w14:paraId="77C3B676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5E7EC741" w14:textId="77777777" w:rsidTr="00EE20CF">
        <w:tc>
          <w:tcPr>
            <w:tcW w:w="6799" w:type="dxa"/>
          </w:tcPr>
          <w:p w14:paraId="52036B0C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There is only one clear answer</w:t>
            </w:r>
          </w:p>
        </w:tc>
        <w:tc>
          <w:tcPr>
            <w:tcW w:w="3686" w:type="dxa"/>
          </w:tcPr>
          <w:p w14:paraId="682E97B4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52F65E7A" w14:textId="77777777" w:rsidTr="00EE20CF">
        <w:tc>
          <w:tcPr>
            <w:tcW w:w="6799" w:type="dxa"/>
          </w:tcPr>
          <w:p w14:paraId="40AEF3E9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Distractors appear to be plausible, ideally containing common misconceptions</w:t>
            </w:r>
          </w:p>
        </w:tc>
        <w:tc>
          <w:tcPr>
            <w:tcW w:w="3686" w:type="dxa"/>
          </w:tcPr>
          <w:p w14:paraId="12D00FAF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717BAF98" w14:textId="77777777" w:rsidTr="00EE20CF">
        <w:tc>
          <w:tcPr>
            <w:tcW w:w="6799" w:type="dxa"/>
          </w:tcPr>
          <w:p w14:paraId="5093471C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Correct answer choices depend more on knowledge application than recall</w:t>
            </w:r>
          </w:p>
        </w:tc>
        <w:tc>
          <w:tcPr>
            <w:tcW w:w="3686" w:type="dxa"/>
          </w:tcPr>
          <w:p w14:paraId="3D1BE061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F73AE3" w:rsidRPr="0000744E" w14:paraId="1DFFF604" w14:textId="77777777" w:rsidTr="00EE20CF">
        <w:tc>
          <w:tcPr>
            <w:tcW w:w="10485" w:type="dxa"/>
            <w:gridSpan w:val="2"/>
          </w:tcPr>
          <w:p w14:paraId="3F6EF028" w14:textId="2181E142" w:rsidR="00F73AE3" w:rsidRPr="0000744E" w:rsidRDefault="00F73AE3" w:rsidP="004B5524">
            <w:pPr>
              <w:rPr>
                <w:i/>
                <w:iCs/>
                <w:lang w:val="en-AU"/>
              </w:rPr>
            </w:pPr>
            <w:r w:rsidRPr="0000744E">
              <w:rPr>
                <w:i/>
                <w:iCs/>
                <w:lang w:val="en-AU"/>
              </w:rPr>
              <w:t>Essay</w:t>
            </w:r>
          </w:p>
        </w:tc>
      </w:tr>
      <w:tr w:rsidR="0000744E" w:rsidRPr="0000744E" w14:paraId="24FBDBC8" w14:textId="77777777" w:rsidTr="00EE20CF">
        <w:tc>
          <w:tcPr>
            <w:tcW w:w="6799" w:type="dxa"/>
          </w:tcPr>
          <w:p w14:paraId="7F8DB5DD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The item is written so that students clearly understand the specific task</w:t>
            </w:r>
          </w:p>
        </w:tc>
        <w:tc>
          <w:tcPr>
            <w:tcW w:w="3686" w:type="dxa"/>
          </w:tcPr>
          <w:p w14:paraId="7A86EB3F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  <w:tr w:rsidR="0000744E" w:rsidRPr="0000744E" w14:paraId="51668DB8" w14:textId="77777777" w:rsidTr="00EE20CF">
        <w:tc>
          <w:tcPr>
            <w:tcW w:w="6799" w:type="dxa"/>
          </w:tcPr>
          <w:p w14:paraId="6D2B3FED" w14:textId="77777777" w:rsidR="0000744E" w:rsidRPr="0000744E" w:rsidRDefault="0000744E" w:rsidP="004B5524">
            <w:pPr>
              <w:rPr>
                <w:lang w:val="en-AU"/>
              </w:rPr>
            </w:pPr>
            <w:r w:rsidRPr="0000744E">
              <w:rPr>
                <w:lang w:val="en-AU"/>
              </w:rPr>
              <w:t>The item measures skills that are difficult to measure using other formats</w:t>
            </w:r>
          </w:p>
        </w:tc>
        <w:tc>
          <w:tcPr>
            <w:tcW w:w="3686" w:type="dxa"/>
          </w:tcPr>
          <w:p w14:paraId="2F4050BF" w14:textId="77777777" w:rsidR="0000744E" w:rsidRPr="0000744E" w:rsidRDefault="0000744E" w:rsidP="004B5524">
            <w:pPr>
              <w:rPr>
                <w:lang w:val="en-AU"/>
              </w:rPr>
            </w:pPr>
          </w:p>
        </w:tc>
      </w:tr>
    </w:tbl>
    <w:p w14:paraId="02AFE27E" w14:textId="5BBFE606" w:rsidR="00C42230" w:rsidRDefault="00C42230" w:rsidP="00EE20CF">
      <w:pPr>
        <w:spacing w:before="120"/>
        <w:rPr>
          <w:b/>
          <w:bCs/>
          <w:i/>
          <w:iCs/>
          <w:lang w:val="en-AU"/>
        </w:rPr>
      </w:pPr>
      <w:r w:rsidRPr="00C42230">
        <w:rPr>
          <w:b/>
          <w:bCs/>
          <w:i/>
          <w:iCs/>
          <w:lang w:val="en-AU"/>
        </w:rPr>
        <w:t>Academic Integrity: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C42230" w14:paraId="400AD79C" w14:textId="77777777" w:rsidTr="00EE20CF">
        <w:tc>
          <w:tcPr>
            <w:tcW w:w="6799" w:type="dxa"/>
          </w:tcPr>
          <w:p w14:paraId="50988F3A" w14:textId="0E447D44" w:rsidR="00C42230" w:rsidRDefault="00C42230" w:rsidP="00C42230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Indicator</w:t>
            </w:r>
          </w:p>
        </w:tc>
        <w:tc>
          <w:tcPr>
            <w:tcW w:w="3651" w:type="dxa"/>
          </w:tcPr>
          <w:p w14:paraId="07BB85DB" w14:textId="74866501" w:rsidR="00C42230" w:rsidRDefault="00C42230" w:rsidP="00C42230">
            <w:pPr>
              <w:rPr>
                <w:b/>
                <w:bCs/>
                <w:i/>
                <w:iCs/>
                <w:lang w:val="en-AU"/>
              </w:rPr>
            </w:pPr>
            <w:r w:rsidRPr="00C42230">
              <w:rPr>
                <w:b/>
                <w:bCs/>
                <w:i/>
                <w:iCs/>
                <w:lang w:val="en-AU"/>
              </w:rPr>
              <w:t>Comments</w:t>
            </w:r>
          </w:p>
        </w:tc>
      </w:tr>
      <w:tr w:rsidR="00C42230" w14:paraId="28480630" w14:textId="77777777" w:rsidTr="00EE20CF">
        <w:tc>
          <w:tcPr>
            <w:tcW w:w="6799" w:type="dxa"/>
          </w:tcPr>
          <w:p w14:paraId="7AFE4639" w14:textId="08E794F9" w:rsidR="00C42230" w:rsidRPr="00C42230" w:rsidRDefault="00C42230" w:rsidP="00C42230">
            <w:pPr>
              <w:rPr>
                <w:lang w:val="en-AU"/>
              </w:rPr>
            </w:pPr>
            <w:r>
              <w:rPr>
                <w:lang w:val="en-AU"/>
              </w:rPr>
              <w:t>Questions favour application of knowledge over recall</w:t>
            </w:r>
          </w:p>
        </w:tc>
        <w:tc>
          <w:tcPr>
            <w:tcW w:w="3651" w:type="dxa"/>
          </w:tcPr>
          <w:p w14:paraId="07D8EEA6" w14:textId="77777777" w:rsidR="00C42230" w:rsidRDefault="00C42230" w:rsidP="00C42230">
            <w:pPr>
              <w:rPr>
                <w:b/>
                <w:bCs/>
                <w:i/>
                <w:iCs/>
                <w:lang w:val="en-AU"/>
              </w:rPr>
            </w:pPr>
          </w:p>
        </w:tc>
      </w:tr>
      <w:tr w:rsidR="00C42230" w14:paraId="38C2A2D9" w14:textId="77777777" w:rsidTr="00EE20CF">
        <w:tc>
          <w:tcPr>
            <w:tcW w:w="6799" w:type="dxa"/>
          </w:tcPr>
          <w:p w14:paraId="6E221589" w14:textId="00109FA7" w:rsidR="00C42230" w:rsidRPr="00C42230" w:rsidRDefault="00C42230" w:rsidP="00C42230">
            <w:pPr>
              <w:rPr>
                <w:lang w:val="en-AU"/>
              </w:rPr>
            </w:pPr>
            <w:r>
              <w:rPr>
                <w:lang w:val="en-AU"/>
              </w:rPr>
              <w:t>Questions are contextualised rather than general, for example, case study analysis</w:t>
            </w:r>
          </w:p>
        </w:tc>
        <w:tc>
          <w:tcPr>
            <w:tcW w:w="3651" w:type="dxa"/>
          </w:tcPr>
          <w:p w14:paraId="2CA10828" w14:textId="77777777" w:rsidR="00C42230" w:rsidRDefault="00C42230" w:rsidP="00C42230">
            <w:pPr>
              <w:rPr>
                <w:b/>
                <w:bCs/>
                <w:i/>
                <w:iCs/>
                <w:lang w:val="en-AU"/>
              </w:rPr>
            </w:pPr>
          </w:p>
        </w:tc>
      </w:tr>
    </w:tbl>
    <w:p w14:paraId="6BE84A32" w14:textId="6A5E54EB" w:rsidR="00C42230" w:rsidRPr="00EE20CF" w:rsidRDefault="00C42230" w:rsidP="005D4ABF">
      <w:pPr>
        <w:rPr>
          <w:i/>
          <w:iCs/>
          <w:lang w:val="en-AU"/>
        </w:rPr>
      </w:pPr>
      <w:r w:rsidRPr="00EE20CF">
        <w:rPr>
          <w:i/>
          <w:iCs/>
          <w:lang w:val="en-AU"/>
        </w:rPr>
        <w:t>NOTE: Answers to questions in online exams can be returned by cheating sites in under twenty minutes.</w:t>
      </w:r>
    </w:p>
    <w:p w14:paraId="50B63709" w14:textId="5B909C43" w:rsidR="005D4ABF" w:rsidRDefault="004A74DD" w:rsidP="00EE20CF">
      <w:pPr>
        <w:spacing w:before="120"/>
        <w:rPr>
          <w:b/>
          <w:bCs/>
          <w:i/>
          <w:iCs/>
          <w:lang w:val="en-AU"/>
        </w:rPr>
      </w:pPr>
      <w:r>
        <w:rPr>
          <w:b/>
          <w:bCs/>
          <w:i/>
          <w:iCs/>
          <w:lang w:val="en-AU"/>
        </w:rPr>
        <w:t>Post Examination</w:t>
      </w:r>
      <w:r w:rsidR="004117FC">
        <w:rPr>
          <w:b/>
          <w:bCs/>
          <w:i/>
          <w:iCs/>
          <w:lang w:val="en-AU"/>
        </w:rPr>
        <w:t>:</w:t>
      </w:r>
    </w:p>
    <w:p w14:paraId="66DE4DDA" w14:textId="6F2DDE75" w:rsidR="004A74DD" w:rsidRDefault="009D7786" w:rsidP="005D4ABF">
      <w:pPr>
        <w:rPr>
          <w:lang w:val="en-AU"/>
        </w:rPr>
      </w:pPr>
      <w:r>
        <w:rPr>
          <w:lang w:val="en-AU"/>
        </w:rPr>
        <w:t xml:space="preserve">Evaluation of the </w:t>
      </w:r>
      <w:r w:rsidR="000609BD">
        <w:rPr>
          <w:lang w:val="en-AU"/>
        </w:rPr>
        <w:t xml:space="preserve">performance of the student cohort in the </w:t>
      </w:r>
      <w:r>
        <w:rPr>
          <w:lang w:val="en-AU"/>
        </w:rPr>
        <w:t>examination is planned</w:t>
      </w:r>
      <w:r w:rsidR="000609BD">
        <w:rPr>
          <w:lang w:val="en-AU"/>
        </w:rPr>
        <w:t>.</w:t>
      </w:r>
      <w:r w:rsidR="003A34A6">
        <w:rPr>
          <w:lang w:val="en-AU"/>
        </w:rPr>
        <w:t xml:space="preserve"> </w:t>
      </w:r>
      <w:r w:rsidR="00843D2C">
        <w:rPr>
          <w:lang w:val="en-AU"/>
        </w:rPr>
        <w:t xml:space="preserve">Percentage correct of each answer or section is calculated and </w:t>
      </w:r>
      <w:r w:rsidR="00B82750">
        <w:rPr>
          <w:lang w:val="en-AU"/>
        </w:rPr>
        <w:t>compared against the learning outcomes map</w:t>
      </w:r>
      <w:r w:rsidR="00850C3C">
        <w:rPr>
          <w:lang w:val="en-AU"/>
        </w:rPr>
        <w:t xml:space="preserve"> to improve teaching and learning in the next cycle of the subject.</w:t>
      </w:r>
    </w:p>
    <w:p w14:paraId="0D59B4E0" w14:textId="14A67472" w:rsidR="00425F71" w:rsidRPr="00850C3C" w:rsidRDefault="00425F71" w:rsidP="00EE20CF">
      <w:pPr>
        <w:spacing w:before="120"/>
        <w:rPr>
          <w:i/>
          <w:iCs/>
          <w:lang w:val="en-AU"/>
        </w:rPr>
      </w:pPr>
      <w:r w:rsidRPr="00850C3C">
        <w:rPr>
          <w:i/>
          <w:iCs/>
          <w:lang w:val="en-AU"/>
        </w:rPr>
        <w:t>Comments:</w:t>
      </w:r>
      <w:bookmarkStart w:id="1" w:name="_GoBack"/>
      <w:bookmarkEnd w:id="1"/>
    </w:p>
    <w:sectPr w:rsidR="00425F71" w:rsidRPr="00850C3C" w:rsidSect="00EE20CF">
      <w:headerReference w:type="default" r:id="rId6"/>
      <w:footerReference w:type="default" r:id="rId7"/>
      <w:pgSz w:w="11900" w:h="16840"/>
      <w:pgMar w:top="567" w:right="720" w:bottom="567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FA9F3" w14:textId="77777777" w:rsidR="00EE20CF" w:rsidRDefault="00EE20CF" w:rsidP="00EE20CF">
      <w:r>
        <w:separator/>
      </w:r>
    </w:p>
  </w:endnote>
  <w:endnote w:type="continuationSeparator" w:id="0">
    <w:p w14:paraId="6D500A08" w14:textId="77777777" w:rsidR="00EE20CF" w:rsidRDefault="00EE20CF" w:rsidP="00EE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FB42" w14:textId="55DF6678" w:rsidR="00BF1A27" w:rsidRDefault="00BF1A27" w:rsidP="00BF1A27">
    <w:pPr>
      <w:pStyle w:val="Footer"/>
      <w:tabs>
        <w:tab w:val="clear" w:pos="4513"/>
        <w:tab w:val="clear" w:pos="9026"/>
        <w:tab w:val="right" w:pos="10348"/>
      </w:tabs>
    </w:pPr>
    <w:r>
      <w:rPr>
        <w:rFonts w:cstheme="minorHAnsi"/>
        <w:noProof/>
        <w:sz w:val="18"/>
        <w:szCs w:val="18"/>
      </w:rPr>
      <w:tab/>
    </w:r>
    <w:r>
      <w:rPr>
        <w:rFonts w:cstheme="minorHAnsi"/>
        <w:noProof/>
        <w:sz w:val="18"/>
        <w:szCs w:val="18"/>
      </w:rPr>
      <w:t>Last updated: 29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4D7CE" w14:textId="77777777" w:rsidR="00EE20CF" w:rsidRDefault="00EE20CF" w:rsidP="00EE20CF">
      <w:r>
        <w:separator/>
      </w:r>
    </w:p>
  </w:footnote>
  <w:footnote w:type="continuationSeparator" w:id="0">
    <w:p w14:paraId="64540184" w14:textId="77777777" w:rsidR="00EE20CF" w:rsidRDefault="00EE20CF" w:rsidP="00EE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6FD1" w14:textId="583D9783" w:rsidR="00EE20CF" w:rsidRDefault="00EE20CF" w:rsidP="00EE20CF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4DEA61AB" wp14:editId="33B1B83C">
          <wp:extent cx="2576830" cy="723900"/>
          <wp:effectExtent l="0" t="0" r="0" b="0"/>
          <wp:docPr id="1" name="Picture 1" descr="Image result for notre dame university logo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notre dame university logo austral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BF"/>
    <w:rsid w:val="0000744E"/>
    <w:rsid w:val="00021A46"/>
    <w:rsid w:val="00030BAB"/>
    <w:rsid w:val="00042D6E"/>
    <w:rsid w:val="000609BD"/>
    <w:rsid w:val="000737A6"/>
    <w:rsid w:val="00075880"/>
    <w:rsid w:val="00096E48"/>
    <w:rsid w:val="000A4D4B"/>
    <w:rsid w:val="001070B5"/>
    <w:rsid w:val="00112B24"/>
    <w:rsid w:val="00112D88"/>
    <w:rsid w:val="00113298"/>
    <w:rsid w:val="001149BA"/>
    <w:rsid w:val="00156A15"/>
    <w:rsid w:val="001654BF"/>
    <w:rsid w:val="00166F4C"/>
    <w:rsid w:val="00193B5E"/>
    <w:rsid w:val="001A0621"/>
    <w:rsid w:val="001A2248"/>
    <w:rsid w:val="001C6727"/>
    <w:rsid w:val="001D0070"/>
    <w:rsid w:val="001F22A4"/>
    <w:rsid w:val="00202A6E"/>
    <w:rsid w:val="0020551D"/>
    <w:rsid w:val="00206C3F"/>
    <w:rsid w:val="00211E4B"/>
    <w:rsid w:val="00224D1A"/>
    <w:rsid w:val="00267033"/>
    <w:rsid w:val="00276BA0"/>
    <w:rsid w:val="00293794"/>
    <w:rsid w:val="0029569E"/>
    <w:rsid w:val="002A4732"/>
    <w:rsid w:val="002A6852"/>
    <w:rsid w:val="002A78CF"/>
    <w:rsid w:val="002C4CCA"/>
    <w:rsid w:val="002D757E"/>
    <w:rsid w:val="003029DE"/>
    <w:rsid w:val="00305591"/>
    <w:rsid w:val="0031062B"/>
    <w:rsid w:val="00322673"/>
    <w:rsid w:val="00334D5E"/>
    <w:rsid w:val="0035429C"/>
    <w:rsid w:val="00365E17"/>
    <w:rsid w:val="003808DE"/>
    <w:rsid w:val="003A34A6"/>
    <w:rsid w:val="003D2EDE"/>
    <w:rsid w:val="003E3956"/>
    <w:rsid w:val="0040160A"/>
    <w:rsid w:val="004117FC"/>
    <w:rsid w:val="0042313C"/>
    <w:rsid w:val="00425F71"/>
    <w:rsid w:val="00427B08"/>
    <w:rsid w:val="00444D53"/>
    <w:rsid w:val="00473439"/>
    <w:rsid w:val="004877D9"/>
    <w:rsid w:val="004A74DD"/>
    <w:rsid w:val="004D7473"/>
    <w:rsid w:val="004E012C"/>
    <w:rsid w:val="00511E55"/>
    <w:rsid w:val="00514732"/>
    <w:rsid w:val="00531CB5"/>
    <w:rsid w:val="00534BCC"/>
    <w:rsid w:val="00542B44"/>
    <w:rsid w:val="00555E6D"/>
    <w:rsid w:val="0059482F"/>
    <w:rsid w:val="005A0D77"/>
    <w:rsid w:val="005B154E"/>
    <w:rsid w:val="005D3AF7"/>
    <w:rsid w:val="005D4ABF"/>
    <w:rsid w:val="005F537C"/>
    <w:rsid w:val="006128D1"/>
    <w:rsid w:val="00613FF7"/>
    <w:rsid w:val="00636095"/>
    <w:rsid w:val="00636DA2"/>
    <w:rsid w:val="00652B9D"/>
    <w:rsid w:val="00656D64"/>
    <w:rsid w:val="006610D5"/>
    <w:rsid w:val="00664AE0"/>
    <w:rsid w:val="00694A8B"/>
    <w:rsid w:val="006C1155"/>
    <w:rsid w:val="006C1C08"/>
    <w:rsid w:val="006C7956"/>
    <w:rsid w:val="006D5E93"/>
    <w:rsid w:val="006F2B4A"/>
    <w:rsid w:val="0070201E"/>
    <w:rsid w:val="00716912"/>
    <w:rsid w:val="007255A7"/>
    <w:rsid w:val="00734CDC"/>
    <w:rsid w:val="00735817"/>
    <w:rsid w:val="0074350B"/>
    <w:rsid w:val="0078302F"/>
    <w:rsid w:val="007B3F43"/>
    <w:rsid w:val="007C208F"/>
    <w:rsid w:val="008037D3"/>
    <w:rsid w:val="0081003C"/>
    <w:rsid w:val="00836E98"/>
    <w:rsid w:val="00843D2C"/>
    <w:rsid w:val="00850C3C"/>
    <w:rsid w:val="00874F8B"/>
    <w:rsid w:val="008907B4"/>
    <w:rsid w:val="008A3F90"/>
    <w:rsid w:val="008B475E"/>
    <w:rsid w:val="008E1D33"/>
    <w:rsid w:val="008E1FF4"/>
    <w:rsid w:val="008E7F87"/>
    <w:rsid w:val="00901542"/>
    <w:rsid w:val="00904170"/>
    <w:rsid w:val="00906F3E"/>
    <w:rsid w:val="00934040"/>
    <w:rsid w:val="00987571"/>
    <w:rsid w:val="0099389B"/>
    <w:rsid w:val="009B29DF"/>
    <w:rsid w:val="009D07E7"/>
    <w:rsid w:val="009D7786"/>
    <w:rsid w:val="009E5D71"/>
    <w:rsid w:val="009F464B"/>
    <w:rsid w:val="00A0391B"/>
    <w:rsid w:val="00A03EBE"/>
    <w:rsid w:val="00A07DA8"/>
    <w:rsid w:val="00A16FCE"/>
    <w:rsid w:val="00A33338"/>
    <w:rsid w:val="00A37BC5"/>
    <w:rsid w:val="00A4341F"/>
    <w:rsid w:val="00A51129"/>
    <w:rsid w:val="00A560CD"/>
    <w:rsid w:val="00A81837"/>
    <w:rsid w:val="00AA195E"/>
    <w:rsid w:val="00AD1510"/>
    <w:rsid w:val="00AD46EF"/>
    <w:rsid w:val="00AF0232"/>
    <w:rsid w:val="00B41A1A"/>
    <w:rsid w:val="00B43F10"/>
    <w:rsid w:val="00B4550F"/>
    <w:rsid w:val="00B45A61"/>
    <w:rsid w:val="00B82750"/>
    <w:rsid w:val="00B94D49"/>
    <w:rsid w:val="00B95E55"/>
    <w:rsid w:val="00BB57B0"/>
    <w:rsid w:val="00BC562A"/>
    <w:rsid w:val="00BD1DD6"/>
    <w:rsid w:val="00BD1F82"/>
    <w:rsid w:val="00BD3554"/>
    <w:rsid w:val="00BE1423"/>
    <w:rsid w:val="00BE2F50"/>
    <w:rsid w:val="00BF1A27"/>
    <w:rsid w:val="00C23209"/>
    <w:rsid w:val="00C31352"/>
    <w:rsid w:val="00C42230"/>
    <w:rsid w:val="00C44BB6"/>
    <w:rsid w:val="00C646FA"/>
    <w:rsid w:val="00CC3A83"/>
    <w:rsid w:val="00CD485A"/>
    <w:rsid w:val="00CE65F0"/>
    <w:rsid w:val="00CF0506"/>
    <w:rsid w:val="00D20F9A"/>
    <w:rsid w:val="00D26C8A"/>
    <w:rsid w:val="00D61A5E"/>
    <w:rsid w:val="00D76C14"/>
    <w:rsid w:val="00D8212E"/>
    <w:rsid w:val="00D8696F"/>
    <w:rsid w:val="00D8723B"/>
    <w:rsid w:val="00DB4D05"/>
    <w:rsid w:val="00DC55BA"/>
    <w:rsid w:val="00DD0656"/>
    <w:rsid w:val="00DD1BC1"/>
    <w:rsid w:val="00DD3372"/>
    <w:rsid w:val="00DE2EB6"/>
    <w:rsid w:val="00DE42C9"/>
    <w:rsid w:val="00DF780F"/>
    <w:rsid w:val="00E10769"/>
    <w:rsid w:val="00E149B8"/>
    <w:rsid w:val="00E318EC"/>
    <w:rsid w:val="00E46717"/>
    <w:rsid w:val="00E8566A"/>
    <w:rsid w:val="00EA4F16"/>
    <w:rsid w:val="00EA6C62"/>
    <w:rsid w:val="00EB321D"/>
    <w:rsid w:val="00EC1FAE"/>
    <w:rsid w:val="00EC4C47"/>
    <w:rsid w:val="00EE20CF"/>
    <w:rsid w:val="00EE517C"/>
    <w:rsid w:val="00EF19BF"/>
    <w:rsid w:val="00F11E8E"/>
    <w:rsid w:val="00F2563A"/>
    <w:rsid w:val="00F319DA"/>
    <w:rsid w:val="00F3290B"/>
    <w:rsid w:val="00F34184"/>
    <w:rsid w:val="00F42244"/>
    <w:rsid w:val="00F475F7"/>
    <w:rsid w:val="00F5185B"/>
    <w:rsid w:val="00F667DF"/>
    <w:rsid w:val="00F66ADF"/>
    <w:rsid w:val="00F73AE3"/>
    <w:rsid w:val="00F904F6"/>
    <w:rsid w:val="00FC0449"/>
    <w:rsid w:val="00FD5B0D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52CC"/>
  <w14:defaultImageDpi w14:val="32767"/>
  <w15:chartTrackingRefBased/>
  <w15:docId w15:val="{8B7B2FAA-74AB-D240-8485-8969BB9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A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11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0CF"/>
  </w:style>
  <w:style w:type="paragraph" w:styleId="Footer">
    <w:name w:val="footer"/>
    <w:basedOn w:val="Normal"/>
    <w:link w:val="FooterChar"/>
    <w:uiPriority w:val="99"/>
    <w:unhideWhenUsed/>
    <w:rsid w:val="00EE2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Casey</dc:creator>
  <cp:keywords/>
  <dc:description/>
  <cp:lastModifiedBy>Sean Cox</cp:lastModifiedBy>
  <cp:revision>49</cp:revision>
  <dcterms:created xsi:type="dcterms:W3CDTF">2021-03-03T04:18:00Z</dcterms:created>
  <dcterms:modified xsi:type="dcterms:W3CDTF">2023-03-28T20:28:00Z</dcterms:modified>
</cp:coreProperties>
</file>